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E8" w:rsidRDefault="00BC1128">
      <w:r>
        <w:t>ASSESSING IMPACT OF CONVENNING AND CONVINCING PROGRAM IN BANGLADESH</w:t>
      </w:r>
      <w:r w:rsidR="00F672C8">
        <w:t>:</w:t>
      </w:r>
    </w:p>
    <w:p w:rsidR="00BC1128" w:rsidRDefault="00BC1128">
      <w:r>
        <w:t xml:space="preserve"> PSM APPROACH</w:t>
      </w:r>
    </w:p>
    <w:p w:rsidR="00BC1128" w:rsidRDefault="00BC1128">
      <w:r>
        <w:t xml:space="preserve">       Matiur Rahman Ph.D.</w:t>
      </w:r>
    </w:p>
    <w:p w:rsidR="00BC1128" w:rsidRDefault="00BC1128">
      <w:r>
        <w:t xml:space="preserve"> Professor (Adjunct), North South University, Bangladesh</w:t>
      </w:r>
    </w:p>
    <w:p w:rsidR="00BC1128" w:rsidRDefault="00BC1128"/>
    <w:p w:rsidR="00BC1128" w:rsidRPr="00696EE2" w:rsidRDefault="00BC1128">
      <w:pPr>
        <w:rPr>
          <w:b/>
        </w:rPr>
      </w:pPr>
      <w:r w:rsidRPr="00696EE2">
        <w:rPr>
          <w:b/>
        </w:rPr>
        <w:t>Abstract</w:t>
      </w:r>
    </w:p>
    <w:p w:rsidR="00DD01CC" w:rsidRDefault="00DD01CC" w:rsidP="00DD01CC">
      <w:r>
        <w:t>A statistical analysis for the performance of the nationally very important project titled “</w:t>
      </w:r>
      <w:r w:rsidRPr="00DD01CC">
        <w:rPr>
          <w:b/>
        </w:rPr>
        <w:t>Convening and Convincing Program</w:t>
      </w:r>
      <w:r>
        <w:t xml:space="preserve"> “  has been performed in this paper. Principally we have adopted </w:t>
      </w:r>
      <w:r w:rsidRPr="00696EE2">
        <w:rPr>
          <w:b/>
        </w:rPr>
        <w:t>Propensity Score Matching  (PSM) t</w:t>
      </w:r>
      <w:r>
        <w:t>ool for crucial performance indicators. Interesting intermediate results have been achieved within a short span of time. Such outcomes are, some improvement in A</w:t>
      </w:r>
      <w:r w:rsidR="00FC2D02">
        <w:t>wareness about nutritional services, credit facilities, upgraded claim rights</w:t>
      </w:r>
      <w:r>
        <w:t>,</w:t>
      </w:r>
      <w:r w:rsidR="00FC2D02">
        <w:t xml:space="preserve"> knowledge about nutritional issues and practices</w:t>
      </w:r>
      <w:r w:rsidR="00050C4A">
        <w:t xml:space="preserve">, participation of women </w:t>
      </w:r>
      <w:r w:rsidR="0026573C">
        <w:t xml:space="preserve">in income generation activities and decision making, </w:t>
      </w:r>
      <w:r>
        <w:t xml:space="preserve"> upgraded  Value Chain</w:t>
      </w:r>
      <w:r w:rsidR="0026573C">
        <w:t>.</w:t>
      </w:r>
      <w:r>
        <w:t xml:space="preserve">  Another remarkable improvement is noticed in the dimension of Gender equity and youth participation in decision making and income generation activities. Access to financial loa</w:t>
      </w:r>
      <w:r w:rsidR="001739CC">
        <w:t>ning sources have been enhanced</w:t>
      </w:r>
      <w:r>
        <w:t xml:space="preserve">. </w:t>
      </w:r>
      <w:r w:rsidR="0026573C">
        <w:t>I</w:t>
      </w:r>
      <w:r>
        <w:t>ncreased income, improved quality, diversification</w:t>
      </w:r>
      <w:r w:rsidR="0026573C">
        <w:t xml:space="preserve"> in income earning</w:t>
      </w:r>
      <w:r>
        <w:t>, increased demand etc</w:t>
      </w:r>
      <w:r w:rsidR="001739CC">
        <w:t>.</w:t>
      </w:r>
      <w:r>
        <w:t xml:space="preserve"> are the intended objectives and have been achieved to an acceptable extent during the project period.</w:t>
      </w:r>
    </w:p>
    <w:p w:rsidR="00F551C1" w:rsidRPr="00DD01CC" w:rsidRDefault="00DD01CC" w:rsidP="00DD01CC">
      <w:pPr>
        <w:rPr>
          <w:b/>
        </w:rPr>
      </w:pPr>
      <w:r w:rsidRPr="00DD01CC">
        <w:rPr>
          <w:b/>
        </w:rPr>
        <w:t xml:space="preserve">Key words: </w:t>
      </w:r>
      <w:r>
        <w:rPr>
          <w:b/>
        </w:rPr>
        <w:t>Convening and Convincing</w:t>
      </w:r>
      <w:r w:rsidRPr="00DD01CC">
        <w:rPr>
          <w:b/>
        </w:rPr>
        <w:t xml:space="preserve">, Multivariate Statistical Analysis, </w:t>
      </w:r>
      <w:r>
        <w:rPr>
          <w:b/>
        </w:rPr>
        <w:t>Pathways</w:t>
      </w:r>
      <w:r w:rsidRPr="00DD01CC">
        <w:rPr>
          <w:b/>
        </w:rPr>
        <w:t>, Propensity Score Matching</w:t>
      </w:r>
      <w:r>
        <w:rPr>
          <w:b/>
        </w:rPr>
        <w:t>, Maximum Likelihood, Women empowerment.</w:t>
      </w:r>
    </w:p>
    <w:p w:rsidR="00DD01CC" w:rsidRDefault="00DD01CC" w:rsidP="00F672C8"/>
    <w:p w:rsidR="00F672C8" w:rsidRPr="00DD01CC" w:rsidRDefault="00F672C8" w:rsidP="00F672C8">
      <w:pPr>
        <w:rPr>
          <w:b/>
        </w:rPr>
      </w:pPr>
      <w:r w:rsidRPr="00DD01CC">
        <w:rPr>
          <w:b/>
        </w:rPr>
        <w:t>1.</w:t>
      </w:r>
      <w:r w:rsidRPr="00DD01CC">
        <w:rPr>
          <w:b/>
        </w:rPr>
        <w:tab/>
        <w:t>Background of the program</w:t>
      </w:r>
    </w:p>
    <w:p w:rsidR="00F672C8" w:rsidRDefault="00F672C8" w:rsidP="00F672C8">
      <w:r>
        <w:t>ICCO Cooperation, an International Development Organization, with its roots in  the Netherlands, leads development efforts  across  44  countries  in  Asia,  Africa  and  Latin  America.  Throughout  our  50  years  of  history,  ICCO  has  had remarkable  experiences  in  working  together  with  local  partners  for  community   ICCO Cooperation in Bangladesh welfare  and  development.   Solutions center around our twin core principle of sustainable livelihoods and dignity and justice and our programs and aim at eradicating extreme poverty from the remote grassroots through our integrated programs of food and nutrition  security,  conflict  transformation  and  democratization,  fair  economic  development,  and  WASH.  We collaborate with multi-stakeholders like private sector, government, partner organizations, knowledge institutes and community based organizations to bring lasting positive changes in the lives of the communities we work with. A  central  objective  of  Convening  and  Convincing  is  to  counter  the  limited,  and  decreasing,  political  space  for CSOs around the world. Strengthening the  lobbying and advocacy (L&amp;A) capacity of CSOs is central t</w:t>
      </w:r>
      <w:r w:rsidR="00205554">
        <w:t xml:space="preserve">o Theory of Change (ToC) in </w:t>
      </w:r>
      <w:r>
        <w:t xml:space="preserve">strategic partnership application. The themes addressed in the ToC are closely related to the Multi Annual Strategic Plan (MASP) of ICCO Cooperation, which builds on two main pillars: ‘Justice and Dignity for All’ and </w:t>
      </w:r>
      <w:r>
        <w:lastRenderedPageBreak/>
        <w:t>‘Sustainable Livelihoods.’ The L&amp;A programs that we will develop under the strategic partnership will be integrated within broader programs implemented by members of the Consortium and with multiple funding sources.  This  means  th</w:t>
      </w:r>
      <w:r w:rsidR="00205554">
        <w:t xml:space="preserve">at </w:t>
      </w:r>
      <w:r>
        <w:t xml:space="preserve">  L&amp;A  interventions  will  not  be  implemented  as  standalone  activities  but  will complement  existing  program  activities  thus  mutually  reinforcing  one  another.  ICCO  Cooperation  Bangladesh focus its activities in Rangpur, Khulna and Barisal division. </w:t>
      </w:r>
    </w:p>
    <w:p w:rsidR="00DD01CC" w:rsidRDefault="00F672C8" w:rsidP="00F672C8">
      <w:r>
        <w:t xml:space="preserve">The overall goal of this strategic partnership is to ensure that CSOs and civil society at large in Bangladesh as well as  the  global  context,  can  contribute  to  decreasing  inequality  and  injustice  in  societies  in  order  to  create  the conditions for just economic, social and political development. To this end, Theory of Change in our  Convening and Convincing application, three pathways of change that we believe will enable  us to achieve our overall goal. </w:t>
      </w:r>
    </w:p>
    <w:p w:rsidR="00F672C8" w:rsidRDefault="00F672C8" w:rsidP="00F672C8">
      <w:r>
        <w:t xml:space="preserve">Three pathways  </w:t>
      </w:r>
    </w:p>
    <w:p w:rsidR="00F672C8" w:rsidRDefault="00F672C8" w:rsidP="00F672C8">
      <w:r>
        <w:t xml:space="preserve">a.  Pathway 1: Political space for CSOs </w:t>
      </w:r>
    </w:p>
    <w:p w:rsidR="00F672C8" w:rsidRDefault="00F672C8" w:rsidP="00F672C8">
      <w:r>
        <w:t>Pathway 1 is meant for supporting and strengthening civil-society organization to be vibrant and critical and that by lobbying and advocacy claim their rights and set their own priorities in a changing and challenging environment. This pathway will work on land rights and informal agro sector labours  issues. The key problem identified for pathway 1 is that  Informal agro  labours have no scope for equal wage, occupational safety and access to Khas land due to not addressing them in the national labour law and improper implementation of land use policy. The space for CSOs to effective lobby for formulation of policy for informal agri sector and access to land needs to improve in order to create more structural access to land for landless/land  poor. To address the issues, ICCO will support the existing platforms of citizen groups through partners to become more effective in creating spaces to raise  their  voice.  The  key  interventions  are  capacity development  of  CSOs,  creating  awareness  and mobilizing people  from  local  to  national  level  on  labour  and  land  rights  issues,  involving  media,  establishing  or  linking networks  and  action  research.  The  stakeholders  are  partner  NGOs,  CSOs  labour  association,  landless  farmers, ministry of land,  ministry  of labour &amp; employment and its respective department.  It is expected that, politicalspace  for  CSOs  will  be created  to  deal  with the  rights  of  agro  labours  and  rights  to  access to Khas  land.  As  a result, it will ensure the rights of the informal agro labour to get access to their land through enhancing capacity of their grassroots organizations, connecting them with the national networks of CSOs and facilitating them to raise their voice in different platforms.</w:t>
      </w:r>
    </w:p>
    <w:p w:rsidR="00F672C8" w:rsidRDefault="00F672C8" w:rsidP="00F672C8">
      <w:r>
        <w:t>Some important lobby issues are:</w:t>
      </w:r>
    </w:p>
    <w:p w:rsidR="00F672C8" w:rsidRDefault="00F672C8" w:rsidP="00F672C8">
      <w:r>
        <w:t>Lobby  issue  1:  Does  the  existing  labour  law  and  include  informal  agriculture  sector’s  labour  in  the  legal framework well enough?</w:t>
      </w:r>
    </w:p>
    <w:p w:rsidR="00F672C8" w:rsidRDefault="00F672C8" w:rsidP="00F672C8">
      <w:r>
        <w:t xml:space="preserve">Lobby issue 2: Does the khasland management and distribution committee at national and local level functional? </w:t>
      </w:r>
    </w:p>
    <w:p w:rsidR="00F672C8" w:rsidRDefault="00F672C8" w:rsidP="00F672C8">
      <w:r>
        <w:t>Lobby issue 3: Is the Land use policy effectively implemented?</w:t>
      </w:r>
    </w:p>
    <w:p w:rsidR="00F672C8" w:rsidRDefault="00F672C8" w:rsidP="00F672C8">
      <w:r>
        <w:t xml:space="preserve">Lobby issue 4: Can we Influence the private sector to not grab the khasland? </w:t>
      </w:r>
    </w:p>
    <w:p w:rsidR="00F672C8" w:rsidRDefault="00F672C8" w:rsidP="00F672C8">
      <w:r>
        <w:t>b.  Pathway 2: Realizing the right to adequate food and nutrition</w:t>
      </w:r>
    </w:p>
    <w:p w:rsidR="00F672C8" w:rsidRDefault="00F672C8" w:rsidP="00F672C8">
      <w:r>
        <w:t xml:space="preserve">Pathway 2 aims at  achieving a  significant reduction in the incidence of stunting among young children in the  north  and  south  regions  of  Bangladesh  in  Rangpur,  Khulna  and  Barisal  divisions.  The  key  problem  is poor access  to  nutrition  services  for  under  aged  5  children  and  women.  Government  has  national  nutrition  policy (NNP) and nutrition plan of action for nutrition (NPAN) but assumed that local and national level CSOs are not fully aware on these policy and action. To address the problem and achieve the goal, set of integrated nutrition specific and nutrition sensitive interventions  including lobbying and advocating  in partnership with Government, CSOs&amp;  private  sector  to  improve  food  and  nutrition  security  of  very  poor  households.  ICCO  Consortium  and partner  jointly will implement the pathway 2. It is expected at end that improved nutrition of under 5 children and women (100days).  The stakeholders are  partner NGO, ministry of health &amp; family welfare, ministry of child </w:t>
      </w:r>
    </w:p>
    <w:p w:rsidR="00F672C8" w:rsidRDefault="00F672C8" w:rsidP="00F672C8">
      <w:r>
        <w:t xml:space="preserve">and women’s welfare, ministry of agriculture, ministry of fisheries &amp; livestock. </w:t>
      </w:r>
    </w:p>
    <w:p w:rsidR="00F672C8" w:rsidRDefault="00F672C8" w:rsidP="00F672C8">
      <w:r>
        <w:t>Some important lobby issues are:</w:t>
      </w:r>
    </w:p>
    <w:p w:rsidR="00F672C8" w:rsidRDefault="00F672C8" w:rsidP="00F672C8">
      <w:r>
        <w:t xml:space="preserve">Lobby issue 1: Is the quality nutrition specific &amp; sensitive services provided or available for under 5 children and </w:t>
      </w:r>
    </w:p>
    <w:p w:rsidR="00F672C8" w:rsidRDefault="00F672C8" w:rsidP="00F672C8">
      <w:r>
        <w:t>women (lactating and pregnant)?</w:t>
      </w:r>
    </w:p>
    <w:p w:rsidR="00F672C8" w:rsidRDefault="00F672C8" w:rsidP="00F672C8">
      <w:r>
        <w:t>Lobby issue 2: Does the action plan ensure integration between health and agriculture line department?</w:t>
      </w:r>
    </w:p>
    <w:p w:rsidR="00F672C8" w:rsidRDefault="00F672C8" w:rsidP="00F672C8">
      <w:r>
        <w:t>c.  Pathway 3: Small-producer empowerment and inclusive markets</w:t>
      </w:r>
    </w:p>
    <w:p w:rsidR="00F672C8" w:rsidRDefault="00F672C8" w:rsidP="00F672C8">
      <w:r>
        <w:t xml:space="preserve">The goal of Pathway 3 is to contribute to an enabling service and governance environment at local, regional and  international levels, resulting in the increased inclusion of marginalized group (small-scale producers including women, youth and workers) and their organizations in value chains, which contributes to improved incomes and livelihoods of these groups and sustainable value chain development.  The key problem is small producers are unable to acquire access to the opportunities, skills and resources to upgrade and do not have the capabilities to engage  with  and  influence  the  market  system  to  reap  the  benefits  that  arise  from  upgrading  processes.  To address the problem, intervention like lobby-advocacy, capacity building, research and knowledge will be taken. Finally it is expected that empowered producers have higher economic status through increased income as result </w:t>
      </w:r>
    </w:p>
    <w:p w:rsidR="00F672C8" w:rsidRDefault="00F672C8" w:rsidP="00F672C8">
      <w:r>
        <w:t xml:space="preserve">of  improved  access  to  services,  finance  and  market.   The  stakeholders  are  partner  NGO,  service  providers association,  private  service  providers,  extension  agent,  producers  group,  federal  producer  group,  private company, department of cooperative etc. The geographical focus of pathway 3 is in North of Bangladesh. </w:t>
      </w:r>
    </w:p>
    <w:p w:rsidR="00F672C8" w:rsidRDefault="00F672C8" w:rsidP="00F672C8">
      <w:r>
        <w:t xml:space="preserve">Some important lobby issues under the pathway 3: </w:t>
      </w:r>
    </w:p>
    <w:p w:rsidR="00F672C8" w:rsidRDefault="00F672C8" w:rsidP="00F672C8">
      <w:r>
        <w:t>Lobby  issue  1:  Does  government  provide  any  specific  support  to  smallholder  farmers  to  strengthen  their bargaining  position  in  dealing  with  agribusiness  and  other  corporate,  for  example  through  public  extension services that include modules on contracts and  rights, or facilitating the development of and access to private sector providers of similar services?</w:t>
      </w:r>
    </w:p>
    <w:p w:rsidR="00F672C8" w:rsidRDefault="00F672C8" w:rsidP="00F672C8">
      <w:r>
        <w:t xml:space="preserve">Lobby  issue  2:  Does  the  legal  framework  recognize  and  protect  organized  farmer  groups  that  are  not  legal cooperatives? Does the policy framework promote farmer groups other than formal cooperatives? </w:t>
      </w:r>
    </w:p>
    <w:p w:rsidR="00F672C8" w:rsidRDefault="00F672C8" w:rsidP="00F672C8">
      <w:r>
        <w:t xml:space="preserve">Lobby Issue 3: Is there a legal requirement to consult with smallholder farmers on policies that will affect them? </w:t>
      </w:r>
    </w:p>
    <w:p w:rsidR="00F672C8" w:rsidRDefault="00F672C8" w:rsidP="00F672C8">
      <w:r>
        <w:t>Are special measures in place to ensure women are adequately represented in consultations?</w:t>
      </w:r>
    </w:p>
    <w:p w:rsidR="00F672C8" w:rsidRDefault="00F672C8" w:rsidP="00F672C8">
      <w:r>
        <w:t xml:space="preserve">The  three  pathways  need  to  be  viewed  as  interconnected  channel  to  achieve  the  overall  goal  of  securing sustainable livelihoods for small-scale producers and workers and their families. Ensuring access to natural and productive resources are crucial elements  in achieving our overall goal of contributing to sustainable livelihoods. The interconnections among the pathways are particularly true in the case of Pathway 1 on political space, which is a goal in itself while, at the same time, it crosscuts the two ot her pathways.  Capacity development for L&amp;A is central  in  the  first  pathway  of  change  and  underlies  and  crosscuts  all  other  pathways.  The  focus  is  on empowering CSOs to undertake L&amp;A to defend the interests of the beneficiary groups they represent, from the community  or  beneficiary  level  to  the  national/global  level  through  the  work  of  CSO  alliances.  Capacity development  is  also  integrated  in  the  other  pathways,  focusing  on  the  specific  thematic  and  organizational capacities  required  to  undertake  effective  L&amp;A  under  each  pathway  of  change.  L&amp;A  strategy  including independent &amp; deeply rooted in the right-based approach, partner-biased, part of a programmatic approach of ICCO’s multiannual strategic plan and evidence based. </w:t>
      </w:r>
    </w:p>
    <w:p w:rsidR="00F672C8" w:rsidRPr="006613FD" w:rsidRDefault="00205554" w:rsidP="00F672C8">
      <w:pPr>
        <w:rPr>
          <w:b/>
        </w:rPr>
      </w:pPr>
      <w:r>
        <w:t>2</w:t>
      </w:r>
      <w:r w:rsidR="00F672C8" w:rsidRPr="006613FD">
        <w:rPr>
          <w:b/>
        </w:rPr>
        <w:t>.  Rationale of the study</w:t>
      </w:r>
    </w:p>
    <w:p w:rsidR="00F672C8" w:rsidRDefault="00205554" w:rsidP="00F672C8">
      <w:r>
        <w:t>B</w:t>
      </w:r>
      <w:r w:rsidR="00F672C8">
        <w:t>oth quantitative and  qualitative  information</w:t>
      </w:r>
      <w:r w:rsidR="00D57DE0">
        <w:t>have been</w:t>
      </w:r>
      <w:r>
        <w:t xml:space="preserve"> collected and analysed so that</w:t>
      </w:r>
      <w:r w:rsidR="00F672C8">
        <w:t xml:space="preserve">  critical  </w:t>
      </w:r>
      <w:r>
        <w:t>a</w:t>
      </w:r>
      <w:r w:rsidR="00F672C8">
        <w:t xml:space="preserve">nalytical  understanding  on  current  status  as  per  pathways design can be well </w:t>
      </w:r>
      <w:r>
        <w:t>understood and the prog</w:t>
      </w:r>
      <w:r w:rsidR="00D57DE0">
        <w:t>ram can be befittingly launched</w:t>
      </w:r>
      <w:r w:rsidR="00F672C8">
        <w:t>.</w:t>
      </w:r>
    </w:p>
    <w:p w:rsidR="00F672C8" w:rsidRDefault="0025615D" w:rsidP="00F672C8">
      <w:pPr>
        <w:rPr>
          <w:b/>
        </w:rPr>
      </w:pPr>
      <w:r>
        <w:t>3</w:t>
      </w:r>
      <w:r w:rsidR="00F672C8">
        <w:t>.</w:t>
      </w:r>
      <w:r w:rsidR="00F672C8">
        <w:tab/>
      </w:r>
      <w:r w:rsidR="00205554" w:rsidRPr="00594FD2">
        <w:rPr>
          <w:b/>
        </w:rPr>
        <w:t>Conceptual Frame work</w:t>
      </w:r>
    </w:p>
    <w:p w:rsidR="00D57DE0" w:rsidRPr="00D57DE0" w:rsidRDefault="00D57DE0" w:rsidP="00D57DE0">
      <w:pPr>
        <w:rPr>
          <w:b/>
        </w:rPr>
      </w:pPr>
      <w:r w:rsidRPr="00D57DE0">
        <w:rPr>
          <w:b/>
        </w:rPr>
        <w:t>Propensity Score Matching (PSM)</w:t>
      </w:r>
    </w:p>
    <w:p w:rsidR="00D57DE0" w:rsidRPr="00D57DE0" w:rsidRDefault="00D57DE0" w:rsidP="00D57DE0">
      <w:r w:rsidRPr="00D57DE0">
        <w:t>The concept of PSM was first introduced by Rosenbaum and Rubin (1983). They have defined propensity score ei for subject i ,(i = 1,2, ……N) as the conditional probability of being assigned to a particular treatment given a vector of observed covariates xi. In randomised studies , covariates are variables that are not affected by allocation of treatments to subjects. We have,</w:t>
      </w:r>
    </w:p>
    <w:p w:rsidR="00D57DE0" w:rsidRPr="00D57DE0" w:rsidRDefault="00D57DE0" w:rsidP="00D57DE0">
      <w:r w:rsidRPr="00D57DE0">
        <w:t>e</w:t>
      </w:r>
      <w:r w:rsidRPr="00D57DE0">
        <w:rPr>
          <w:vertAlign w:val="subscript"/>
        </w:rPr>
        <w:t xml:space="preserve">i </w:t>
      </w:r>
      <w:r w:rsidRPr="00D57DE0">
        <w:t>= Pr (y</w:t>
      </w:r>
      <w:r w:rsidRPr="00D57DE0">
        <w:rPr>
          <w:vertAlign w:val="subscript"/>
        </w:rPr>
        <w:t>i</w:t>
      </w:r>
      <w:r w:rsidRPr="00D57DE0">
        <w:t xml:space="preserve"> = 1││xi) where y</w:t>
      </w:r>
      <w:r w:rsidRPr="00D57DE0">
        <w:rPr>
          <w:vertAlign w:val="subscript"/>
        </w:rPr>
        <w:t>i</w:t>
      </w:r>
      <w:r w:rsidRPr="00D57DE0">
        <w:t xml:space="preserve"> = 1 for treatment and   y</w:t>
      </w:r>
      <w:r w:rsidRPr="00D57DE0">
        <w:rPr>
          <w:vertAlign w:val="subscript"/>
        </w:rPr>
        <w:t>i</w:t>
      </w:r>
      <w:r w:rsidRPr="00D57DE0">
        <w:t xml:space="preserve"> = 0 for control.</w:t>
      </w:r>
    </w:p>
    <w:p w:rsidR="00D57DE0" w:rsidRPr="00D57DE0" w:rsidRDefault="00D57DE0" w:rsidP="00D57DE0">
      <w:r w:rsidRPr="00D57DE0">
        <w:t xml:space="preserve"> Heckman  (1987) also played role in the development of PSM. He focussed on selection bias, with primary emphasis on making causal inferences when there is non-random assignment. He later developed the difference in differences approach which has application to PSM.</w:t>
      </w:r>
    </w:p>
    <w:p w:rsidR="00D57DE0" w:rsidRPr="00D57DE0" w:rsidRDefault="00D57DE0" w:rsidP="00D57DE0">
      <w:r w:rsidRPr="00D57DE0">
        <w:t xml:space="preserve">The PSM technique has been applied in a wide variety of fields in the program evaluation literature. For example, Heckman, Ichimura and Todd (1998), Lechner (1999), Dehejia and Wahba (2002), and Smith &amp; Todd (2005) use PSM techniques to estimate the impact of labor market and training programs on income; Jalan and Ravallion (2003) evaluate antipoverty workfare programs; Faliani, Gerter and Schargrodsky (2005) study the effect of water supply on child mortality; Trujillo, Portillo and Vernon (2005) analyze the impact of health insurance on medical-care participation;  Almus and Czarnitzki (2003) and Moser (2005) evaluate impact of R &amp; D subsides &amp; patent laws on innovations. </w:t>
      </w:r>
    </w:p>
    <w:p w:rsidR="00D57DE0" w:rsidRDefault="00D57DE0" w:rsidP="00D57DE0">
      <w:r w:rsidRPr="00D57DE0">
        <w:t>The greatest challenge in evaluating any intervention or program is obtaining a credible estimate of the counterfactual: What would have happened to participating units if they had not participated? One feasible solution to this problem is to estimate the counterfactual outcome based on a  group and  of nonparticipants. Then calculate the impact of the intervention as the difference in mean outcomes between groups and the comparison  group must be statistically equivalent to the initial treated group. In other words, the groups that  must be identical except for the fact that one of them received the treatment and the other not. Thus, the main concern is how to find a proper comparison group.</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Suppose, the impact of a treatment for an individual i, noted </w:t>
      </w:r>
      <w:r w:rsidRPr="00507F90">
        <w:rPr>
          <w:rFonts w:ascii="Calibri" w:eastAsia="Calibri" w:hAnsi="Calibri" w:cs="Times New Roman"/>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8" o:title=""/>
          </v:shape>
          <o:OLEObject Type="Embed" ProgID="Equation.3" ShapeID="_x0000_i1025" DrawAspect="Content" ObjectID="_1552297438" r:id="rId9"/>
        </w:object>
      </w:r>
      <w:r w:rsidRPr="00507F90">
        <w:rPr>
          <w:rFonts w:ascii="Calibri" w:eastAsia="Calibri" w:hAnsi="Calibri" w:cs="Times New Roman"/>
        </w:rPr>
        <w:t xml:space="preserve"> is defined as the difference between the potential outcome in case of treatment (Y</w:t>
      </w:r>
      <w:r w:rsidRPr="00507F90">
        <w:rPr>
          <w:rFonts w:ascii="Calibri" w:eastAsia="Calibri" w:hAnsi="Calibri" w:cs="Times New Roman"/>
          <w:vertAlign w:val="subscript"/>
        </w:rPr>
        <w:t>1i</w:t>
      </w:r>
      <w:r w:rsidRPr="00507F90">
        <w:rPr>
          <w:rFonts w:ascii="Calibri" w:eastAsia="Calibri" w:hAnsi="Calibri" w:cs="Times New Roman"/>
        </w:rPr>
        <w:t>) and the potential outcome in absence of treatment (Y</w:t>
      </w:r>
      <w:r w:rsidRPr="00507F90">
        <w:rPr>
          <w:rFonts w:ascii="Calibri" w:eastAsia="Calibri" w:hAnsi="Calibri" w:cs="Times New Roman"/>
          <w:vertAlign w:val="subscript"/>
        </w:rPr>
        <w:t>oi</w:t>
      </w:r>
      <w:r w:rsidRPr="00507F90">
        <w:rPr>
          <w:rFonts w:ascii="Calibri" w:eastAsia="Calibri" w:hAnsi="Calibri" w:cs="Times New Roman"/>
        </w:rPr>
        <w:t xml:space="preserve">). </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position w:val="-12"/>
        </w:rPr>
        <w:object w:dxaOrig="1200" w:dyaOrig="360">
          <v:shape id="_x0000_i1026" type="#_x0000_t75" style="width:60pt;height:18pt" o:ole="">
            <v:imagedata r:id="rId10" o:title=""/>
          </v:shape>
          <o:OLEObject Type="Embed" ProgID="Equation.3" ShapeID="_x0000_i1026" DrawAspect="Content" ObjectID="_1552297439" r:id="rId11"/>
        </w:objec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An evaluation seeks to estimate the mean impact of the program, obtained by averaging the impact across all the individuals in the population. This parameter is known as </w:t>
      </w:r>
      <w:r w:rsidRPr="00507F90">
        <w:rPr>
          <w:rFonts w:ascii="Calibri" w:eastAsia="Calibri" w:hAnsi="Calibri" w:cs="Times New Roman"/>
          <w:b/>
        </w:rPr>
        <w:t>Average Treatment Effect or ATE:</w:t>
      </w:r>
      <w:r w:rsidRPr="00507F90">
        <w:rPr>
          <w:rFonts w:ascii="Calibri" w:eastAsia="Calibri" w:hAnsi="Calibri" w:cs="Times New Roman"/>
        </w:rPr>
        <w:t xml:space="preserve"> =E(</w:t>
      </w:r>
      <w:r w:rsidRPr="00507F90">
        <w:rPr>
          <w:rFonts w:ascii="Calibri" w:eastAsia="Calibri" w:hAnsi="Calibri" w:cs="Times New Roman"/>
          <w:position w:val="-10"/>
        </w:rPr>
        <w:object w:dxaOrig="279" w:dyaOrig="320">
          <v:shape id="_x0000_i1027" type="#_x0000_t75" style="width:14.25pt;height:15.75pt" o:ole="">
            <v:imagedata r:id="rId12" o:title=""/>
          </v:shape>
          <o:OLEObject Type="Embed" ProgID="Equation.3" ShapeID="_x0000_i1027" DrawAspect="Content" ObjectID="_1552297440" r:id="rId13"/>
        </w:object>
      </w:r>
      <w:r w:rsidRPr="00507F90">
        <w:rPr>
          <w:rFonts w:ascii="Calibri" w:eastAsia="Calibri" w:hAnsi="Calibri" w:cs="Times New Roman"/>
        </w:rPr>
        <w:t>= E(Y</w:t>
      </w:r>
      <w:r w:rsidRPr="00507F90">
        <w:rPr>
          <w:rFonts w:ascii="Calibri" w:eastAsia="Calibri" w:hAnsi="Calibri" w:cs="Times New Roman"/>
          <w:position w:val="-12"/>
        </w:rPr>
        <w:object w:dxaOrig="180" w:dyaOrig="360">
          <v:shape id="_x0000_i1028" type="#_x0000_t75" style="width:9pt;height:18pt" o:ole="">
            <v:imagedata r:id="rId14" o:title=""/>
          </v:shape>
          <o:OLEObject Type="Embed" ProgID="Equation.3" ShapeID="_x0000_i1028" DrawAspect="Content" ObjectID="_1552297441" r:id="rId15"/>
        </w:object>
      </w:r>
      <w:r w:rsidRPr="00507F90">
        <w:rPr>
          <w:rFonts w:ascii="Calibri" w:eastAsia="Calibri" w:hAnsi="Calibri" w:cs="Times New Roman"/>
          <w:position w:val="-12"/>
        </w:rPr>
        <w:object w:dxaOrig="580" w:dyaOrig="360">
          <v:shape id="_x0000_i1029" type="#_x0000_t75" style="width:29.25pt;height:18pt" o:ole="">
            <v:imagedata r:id="rId16" o:title=""/>
          </v:shape>
          <o:OLEObject Type="Embed" ProgID="Equation.3" ShapeID="_x0000_i1029" DrawAspect="Content" ObjectID="_1552297442" r:id="rId17"/>
        </w:object>
      </w:r>
    </w:p>
    <w:p w:rsidR="00783DCD" w:rsidRPr="00507F90" w:rsidRDefault="00783DCD" w:rsidP="00783DCD">
      <w:pPr>
        <w:jc w:val="both"/>
        <w:rPr>
          <w:rFonts w:ascii="Calibri" w:eastAsia="Calibri" w:hAnsi="Calibri" w:cs="Times New Roman"/>
        </w:rPr>
      </w:pPr>
      <w:r w:rsidRPr="00507F90">
        <w:rPr>
          <w:rFonts w:ascii="Calibri" w:eastAsia="Calibri" w:hAnsi="Calibri" w:cs="Times New Roman"/>
        </w:rPr>
        <w:t xml:space="preserve">where E(.) represents the average (or expected value). </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Average Treatment Effect on the Treated, or ATT, which measures the impact of the program on those individuals who participated is also of interest. </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ATT = E(Y</w:t>
      </w:r>
      <w:r w:rsidRPr="00507F90">
        <w:rPr>
          <w:rFonts w:ascii="Calibri" w:eastAsia="Calibri" w:hAnsi="Calibri" w:cs="Times New Roman"/>
          <w:position w:val="-12"/>
        </w:rPr>
        <w:object w:dxaOrig="1240" w:dyaOrig="360">
          <v:shape id="_x0000_i1030" type="#_x0000_t75" style="width:62.25pt;height:18pt" o:ole="">
            <v:imagedata r:id="rId18" o:title=""/>
          </v:shape>
          <o:OLEObject Type="Embed" ProgID="Equation.3" ShapeID="_x0000_i1030" DrawAspect="Content" ObjectID="_1552297443" r:id="rId19"/>
        </w:objec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Finally, the Average Treatment Effect on the Untreated (ATU) measures the impact that the  program would have had on those who did not participate: </w:t>
      </w:r>
    </w:p>
    <w:p w:rsidR="00783DCD" w:rsidRPr="00507F90" w:rsidRDefault="00783DCD" w:rsidP="00783DCD">
      <w:pPr>
        <w:spacing w:line="360" w:lineRule="auto"/>
        <w:jc w:val="both"/>
        <w:rPr>
          <w:rFonts w:ascii="Calibri" w:eastAsia="Calibri" w:hAnsi="Calibri" w:cs="Times New Roman"/>
          <w:b/>
        </w:rPr>
      </w:pPr>
      <w:r w:rsidRPr="00507F90">
        <w:rPr>
          <w:rFonts w:ascii="Calibri" w:eastAsia="Calibri" w:hAnsi="Calibri" w:cs="Times New Roman"/>
          <w:b/>
        </w:rPr>
        <w:t>ATU = E(Y</w:t>
      </w:r>
      <w:r w:rsidRPr="00507F90">
        <w:rPr>
          <w:rFonts w:ascii="Calibri" w:eastAsia="Calibri" w:hAnsi="Calibri" w:cs="Times New Roman"/>
          <w:b/>
          <w:position w:val="-12"/>
        </w:rPr>
        <w:object w:dxaOrig="1300" w:dyaOrig="360">
          <v:shape id="_x0000_i1031" type="#_x0000_t75" style="width:65.25pt;height:18pt" o:ole="">
            <v:imagedata r:id="rId20" o:title=""/>
          </v:shape>
          <o:OLEObject Type="Embed" ProgID="Equation.3" ShapeID="_x0000_i1031" DrawAspect="Content" ObjectID="_1552297444" r:id="rId21"/>
        </w:objec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Problem is that all of these parameters are not observable, since they depend  on counterfactual outcomes. For instance, using the fact that the average  of a difference is the difference of the averages, the ATT can be rewritten as: </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ATT = E(Y</w:t>
      </w:r>
      <w:r w:rsidRPr="00507F90">
        <w:rPr>
          <w:rFonts w:ascii="Calibri" w:eastAsia="Calibri" w:hAnsi="Calibri" w:cs="Times New Roman"/>
          <w:position w:val="-12"/>
        </w:rPr>
        <w:object w:dxaOrig="2700" w:dyaOrig="360">
          <v:shape id="_x0000_i1032" type="#_x0000_t75" style="width:135pt;height:18pt" o:ole="">
            <v:imagedata r:id="rId22" o:title=""/>
          </v:shape>
          <o:OLEObject Type="Embed" ProgID="Equation.3" ShapeID="_x0000_i1032" DrawAspect="Content" ObjectID="_1552297445" r:id="rId23"/>
        </w:objec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E(</w:t>
      </w:r>
      <w:r w:rsidRPr="00507F90">
        <w:rPr>
          <w:rFonts w:ascii="Calibri" w:eastAsia="Calibri" w:hAnsi="Calibri" w:cs="Times New Roman"/>
          <w:position w:val="-12"/>
        </w:rPr>
        <w:object w:dxaOrig="1040" w:dyaOrig="360">
          <v:shape id="_x0000_i1033" type="#_x0000_t75" style="width:51.75pt;height:18pt" o:ole="">
            <v:imagedata r:id="rId24" o:title=""/>
          </v:shape>
          <o:OLEObject Type="Embed" ProgID="Equation.3" ShapeID="_x0000_i1033" DrawAspect="Content" ObjectID="_1552297446" r:id="rId25"/>
        </w:object>
      </w:r>
      <w:r w:rsidRPr="00507F90">
        <w:rPr>
          <w:rFonts w:ascii="Calibri" w:eastAsia="Calibri" w:hAnsi="Calibri" w:cs="Times New Roman"/>
        </w:rPr>
        <w:t xml:space="preserve"> is the average outcome that the treated individuals would have in the absence of treatment. However, we do observe the term E(</w:t>
      </w:r>
      <w:r w:rsidRPr="00507F90">
        <w:rPr>
          <w:rFonts w:ascii="Calibri" w:eastAsia="Calibri" w:hAnsi="Calibri" w:cs="Times New Roman"/>
          <w:position w:val="-12"/>
        </w:rPr>
        <w:object w:dxaOrig="1080" w:dyaOrig="360">
          <v:shape id="_x0000_i1034" type="#_x0000_t75" style="width:54pt;height:18pt" o:ole="">
            <v:imagedata r:id="rId26" o:title=""/>
          </v:shape>
          <o:OLEObject Type="Embed" ProgID="Equation.3" ShapeID="_x0000_i1034" DrawAspect="Content" ObjectID="_1552297447" r:id="rId27"/>
        </w:object>
      </w:r>
      <w:r w:rsidRPr="00507F90">
        <w:rPr>
          <w:rFonts w:ascii="Calibri" w:eastAsia="Calibri" w:hAnsi="Calibri" w:cs="Times New Roman"/>
        </w:rPr>
        <w:t xml:space="preserve">, the value of Yo for the untreated individuals. Thus, we can calculate: </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position w:val="-4"/>
        </w:rPr>
        <w:object w:dxaOrig="220" w:dyaOrig="260">
          <v:shape id="_x0000_i1035" type="#_x0000_t75" style="width:11.25pt;height:12.75pt" o:ole="">
            <v:imagedata r:id="rId28" o:title=""/>
          </v:shape>
          <o:OLEObject Type="Embed" ProgID="Equation.3" ShapeID="_x0000_i1035" DrawAspect="Content" ObjectID="_1552297448" r:id="rId29"/>
        </w:object>
      </w:r>
      <w:r w:rsidRPr="00507F90">
        <w:rPr>
          <w:rFonts w:ascii="Calibri" w:eastAsia="Calibri" w:hAnsi="Calibri" w:cs="Times New Roman"/>
        </w:rPr>
        <w:t>= E(Y</w:t>
      </w:r>
      <w:r w:rsidRPr="00507F90">
        <w:rPr>
          <w:rFonts w:ascii="Calibri" w:eastAsia="Calibri" w:hAnsi="Calibri" w:cs="Times New Roman"/>
          <w:position w:val="-10"/>
        </w:rPr>
        <w:object w:dxaOrig="120" w:dyaOrig="340">
          <v:shape id="_x0000_i1036" type="#_x0000_t75" style="width:6pt;height:17.25pt" o:ole="">
            <v:imagedata r:id="rId30" o:title=""/>
          </v:shape>
          <o:OLEObject Type="Embed" ProgID="Equation.3" ShapeID="_x0000_i1036" DrawAspect="Content" ObjectID="_1552297449" r:id="rId31"/>
        </w:object>
      </w:r>
      <w:r w:rsidRPr="00507F90">
        <w:rPr>
          <w:rFonts w:ascii="Calibri" w:eastAsia="Calibri" w:hAnsi="Calibri" w:cs="Times New Roman"/>
          <w:position w:val="-12"/>
        </w:rPr>
        <w:object w:dxaOrig="2260" w:dyaOrig="360">
          <v:shape id="_x0000_i1037" type="#_x0000_t75" style="width:113.25pt;height:18pt" o:ole="">
            <v:imagedata r:id="rId32" o:title=""/>
          </v:shape>
          <o:OLEObject Type="Embed" ProgID="Equation.3" ShapeID="_x0000_i1037" DrawAspect="Content" ObjectID="_1552297450" r:id="rId33"/>
        </w:objec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What is the difference between </w:t>
      </w:r>
      <w:r w:rsidRPr="00507F90">
        <w:rPr>
          <w:rFonts w:ascii="Calibri" w:eastAsia="Calibri" w:hAnsi="Calibri" w:cs="Times New Roman"/>
          <w:position w:val="-4"/>
        </w:rPr>
        <w:object w:dxaOrig="220" w:dyaOrig="260">
          <v:shape id="_x0000_i1038" type="#_x0000_t75" style="width:11.25pt;height:12.75pt" o:ole="">
            <v:imagedata r:id="rId28" o:title=""/>
          </v:shape>
          <o:OLEObject Type="Embed" ProgID="Equation.3" ShapeID="_x0000_i1038" DrawAspect="Content" ObjectID="_1552297451" r:id="rId34"/>
        </w:object>
      </w:r>
      <w:r w:rsidRPr="00507F90">
        <w:rPr>
          <w:rFonts w:ascii="Calibri" w:eastAsia="Calibri" w:hAnsi="Calibri" w:cs="Times New Roman"/>
        </w:rPr>
        <w:t xml:space="preserve"> and the ATT? Adding and subtracting the term E(Y</w:t>
      </w:r>
      <w:r w:rsidRPr="00507F90">
        <w:rPr>
          <w:rFonts w:ascii="Calibri" w:eastAsia="Calibri" w:hAnsi="Calibri" w:cs="Times New Roman"/>
          <w:position w:val="-10"/>
        </w:rPr>
        <w:object w:dxaOrig="960" w:dyaOrig="320">
          <v:shape id="_x0000_i1039" type="#_x0000_t75" style="width:48pt;height:15.75pt" o:ole="">
            <v:imagedata r:id="rId35" o:title=""/>
          </v:shape>
          <o:OLEObject Type="Embed" ProgID="Equation.3" ShapeID="_x0000_i1039" DrawAspect="Content" ObjectID="_1552297452" r:id="rId36"/>
        </w:object>
      </w:r>
      <w:r w:rsidRPr="00507F90">
        <w:rPr>
          <w:rFonts w:ascii="Calibri" w:eastAsia="Calibri" w:hAnsi="Calibri" w:cs="Times New Roman"/>
        </w:rPr>
        <w:t>:</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position w:val="-4"/>
        </w:rPr>
        <w:object w:dxaOrig="220" w:dyaOrig="260">
          <v:shape id="_x0000_i1040" type="#_x0000_t75" style="width:11.25pt;height:12.75pt" o:ole="">
            <v:imagedata r:id="rId28" o:title=""/>
          </v:shape>
          <o:OLEObject Type="Embed" ProgID="Equation.3" ShapeID="_x0000_i1040" DrawAspect="Content" ObjectID="_1552297453" r:id="rId37"/>
        </w:object>
      </w:r>
      <w:r w:rsidRPr="00507F90">
        <w:rPr>
          <w:rFonts w:ascii="Calibri" w:eastAsia="Calibri" w:hAnsi="Calibri" w:cs="Times New Roman"/>
        </w:rPr>
        <w:t>= E(Y</w:t>
      </w:r>
      <w:r w:rsidRPr="00507F90">
        <w:rPr>
          <w:rFonts w:ascii="Calibri" w:eastAsia="Calibri" w:hAnsi="Calibri" w:cs="Times New Roman"/>
          <w:position w:val="-10"/>
        </w:rPr>
        <w:object w:dxaOrig="120" w:dyaOrig="340">
          <v:shape id="_x0000_i1041" type="#_x0000_t75" style="width:6pt;height:17.25pt" o:ole="">
            <v:imagedata r:id="rId38" o:title=""/>
          </v:shape>
          <o:OLEObject Type="Embed" ProgID="Equation.3" ShapeID="_x0000_i1041" DrawAspect="Content" ObjectID="_1552297454" r:id="rId39"/>
        </w:object>
      </w:r>
      <w:r w:rsidRPr="00507F90">
        <w:rPr>
          <w:rFonts w:ascii="Calibri" w:eastAsia="Calibri" w:hAnsi="Calibri" w:cs="Times New Roman"/>
          <w:position w:val="-12"/>
        </w:rPr>
        <w:object w:dxaOrig="2280" w:dyaOrig="360">
          <v:shape id="_x0000_i1042" type="#_x0000_t75" style="width:114pt;height:18pt" o:ole="">
            <v:imagedata r:id="rId40" o:title=""/>
          </v:shape>
          <o:OLEObject Type="Embed" ProgID="Equation.3" ShapeID="_x0000_i1042" DrawAspect="Content" ObjectID="_1552297455" r:id="rId41"/>
        </w:object>
      </w:r>
      <w:r w:rsidRPr="00507F90">
        <w:rPr>
          <w:rFonts w:ascii="Calibri" w:eastAsia="Calibri" w:hAnsi="Calibri" w:cs="Times New Roman"/>
        </w:rPr>
        <w:t>+</w:t>
      </w:r>
      <w:r w:rsidRPr="00507F90">
        <w:rPr>
          <w:rFonts w:ascii="Calibri" w:eastAsia="Calibri" w:hAnsi="Calibri" w:cs="Times New Roman"/>
          <w:position w:val="-12"/>
        </w:rPr>
        <w:object w:dxaOrig="1300" w:dyaOrig="360">
          <v:shape id="_x0000_i1043" type="#_x0000_t75" style="width:65.25pt;height:18pt" o:ole="">
            <v:imagedata r:id="rId42" o:title=""/>
          </v:shape>
          <o:OLEObject Type="Embed" ProgID="Equation.3" ShapeID="_x0000_i1043" DrawAspect="Content" ObjectID="_1552297456" r:id="rId43"/>
        </w:object>
      </w:r>
      <w:r w:rsidRPr="00507F90">
        <w:rPr>
          <w:rFonts w:ascii="Calibri" w:eastAsia="Calibri" w:hAnsi="Calibri" w:cs="Times New Roman"/>
        </w:rPr>
        <w:t>-</w:t>
      </w:r>
      <w:r w:rsidRPr="00507F90">
        <w:rPr>
          <w:rFonts w:ascii="Calibri" w:eastAsia="Calibri" w:hAnsi="Calibri" w:cs="Times New Roman"/>
          <w:position w:val="-12"/>
        </w:rPr>
        <w:object w:dxaOrig="1340" w:dyaOrig="360">
          <v:shape id="_x0000_i1044" type="#_x0000_t75" style="width:66.75pt;height:18pt" o:ole="">
            <v:imagedata r:id="rId44" o:title=""/>
          </v:shape>
          <o:OLEObject Type="Embed" ProgID="Equation.3" ShapeID="_x0000_i1044" DrawAspect="Content" ObjectID="_1552297457" r:id="rId45"/>
        </w:objec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position w:val="-4"/>
        </w:rPr>
        <w:object w:dxaOrig="220" w:dyaOrig="260">
          <v:shape id="_x0000_i1045" type="#_x0000_t75" style="width:9pt;height:12.75pt" o:ole="">
            <v:imagedata r:id="rId28" o:title=""/>
          </v:shape>
          <o:OLEObject Type="Embed" ProgID="Equation.3" ShapeID="_x0000_i1045" DrawAspect="Content" ObjectID="_1552297458" r:id="rId46"/>
        </w:object>
      </w:r>
      <w:r w:rsidRPr="00507F90">
        <w:rPr>
          <w:rFonts w:ascii="Calibri" w:eastAsia="Calibri" w:hAnsi="Calibri" w:cs="Times New Roman"/>
        </w:rPr>
        <w:t>=ATT +</w:t>
      </w:r>
      <w:r w:rsidRPr="00507F90">
        <w:rPr>
          <w:rFonts w:ascii="Calibri" w:eastAsia="Calibri" w:hAnsi="Calibri" w:cs="Times New Roman"/>
          <w:position w:val="-12"/>
        </w:rPr>
        <w:object w:dxaOrig="1300" w:dyaOrig="360">
          <v:shape id="_x0000_i1046" type="#_x0000_t75" style="width:65.25pt;height:18pt" o:ole="">
            <v:imagedata r:id="rId47" o:title=""/>
          </v:shape>
          <o:OLEObject Type="Embed" ProgID="Equation.3" ShapeID="_x0000_i1046" DrawAspect="Content" ObjectID="_1552297459" r:id="rId48"/>
        </w:object>
      </w:r>
      <w:r w:rsidRPr="00507F90">
        <w:rPr>
          <w:rFonts w:ascii="Calibri" w:eastAsia="Calibri" w:hAnsi="Calibri" w:cs="Times New Roman"/>
        </w:rPr>
        <w:t>-</w:t>
      </w:r>
      <w:r w:rsidRPr="00507F90">
        <w:rPr>
          <w:rFonts w:ascii="Calibri" w:eastAsia="Calibri" w:hAnsi="Calibri" w:cs="Times New Roman"/>
          <w:position w:val="-12"/>
        </w:rPr>
        <w:object w:dxaOrig="1340" w:dyaOrig="360">
          <v:shape id="_x0000_i1047" type="#_x0000_t75" style="width:66.75pt;height:18pt" o:ole="">
            <v:imagedata r:id="rId49" o:title=""/>
          </v:shape>
          <o:OLEObject Type="Embed" ProgID="Equation.3" ShapeID="_x0000_i1047" DrawAspect="Content" ObjectID="_1552297460" r:id="rId50"/>
        </w:objec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position w:val="-4"/>
        </w:rPr>
        <w:object w:dxaOrig="220" w:dyaOrig="260">
          <v:shape id="_x0000_i1048" type="#_x0000_t75" style="width:9pt;height:12.75pt" o:ole="">
            <v:imagedata r:id="rId28" o:title=""/>
          </v:shape>
          <o:OLEObject Type="Embed" ProgID="Equation.3" ShapeID="_x0000_i1048" DrawAspect="Content" ObjectID="_1552297461" r:id="rId51"/>
        </w:object>
      </w:r>
      <w:r w:rsidRPr="00507F90">
        <w:rPr>
          <w:rFonts w:ascii="Calibri" w:eastAsia="Calibri" w:hAnsi="Calibri" w:cs="Times New Roman"/>
        </w:rPr>
        <w:t>=ATT+SB</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SB  is the selection bias: the difference between the counterfactual for treated individuals and the observed outcome for the untreated individuals, If this term is equal to 0, then the ATT can be estimated by the difference between the mean observed outcomes for treated and untreated: </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ATT= </w:t>
      </w:r>
      <w:r w:rsidRPr="00507F90">
        <w:rPr>
          <w:rFonts w:ascii="Calibri" w:eastAsia="Calibri" w:hAnsi="Calibri" w:cs="Times New Roman"/>
          <w:position w:val="-10"/>
        </w:rPr>
        <w:object w:dxaOrig="1240" w:dyaOrig="320">
          <v:shape id="_x0000_i1049" type="#_x0000_t75" style="width:62.25pt;height:15.75pt" o:ole="">
            <v:imagedata r:id="rId52" o:title=""/>
          </v:shape>
          <o:OLEObject Type="Embed" ProgID="Equation.3" ShapeID="_x0000_i1049" DrawAspect="Content" ObjectID="_1552297462" r:id="rId53"/>
        </w:object>
      </w:r>
      <w:r w:rsidRPr="00507F90">
        <w:rPr>
          <w:rFonts w:ascii="Calibri" w:eastAsia="Calibri" w:hAnsi="Calibri" w:cs="Times New Roman"/>
        </w:rPr>
        <w:t>-</w:t>
      </w:r>
      <w:r w:rsidRPr="00507F90">
        <w:rPr>
          <w:rFonts w:ascii="Calibri" w:eastAsia="Calibri" w:hAnsi="Calibri" w:cs="Times New Roman"/>
          <w:position w:val="-10"/>
        </w:rPr>
        <w:object w:dxaOrig="1280" w:dyaOrig="320">
          <v:shape id="_x0000_i1050" type="#_x0000_t75" style="width:63.75pt;height:15.75pt" o:ole="">
            <v:imagedata r:id="rId54" o:title=""/>
          </v:shape>
          <o:OLEObject Type="Embed" ProgID="Equation.3" ShapeID="_x0000_i1050" DrawAspect="Content" ObjectID="_1552297463" r:id="rId55"/>
        </w:objec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 xml:space="preserve">In many cases the selection bias term is not equal to 0. In these cases, the difference in means, will be a biased estimator of the ATT. The main goal of an evaluation is to ensure that the selection bias is equal to 0 in order to correctly estimate the parameter of interest. </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We use Y</w:t>
      </w:r>
      <w:r w:rsidRPr="00507F90">
        <w:rPr>
          <w:rFonts w:ascii="Calibri" w:eastAsia="Calibri" w:hAnsi="Calibri" w:cs="Times New Roman"/>
          <w:vertAlign w:val="subscript"/>
        </w:rPr>
        <w:t>1</w:t>
      </w:r>
      <w:r w:rsidRPr="00507F90">
        <w:rPr>
          <w:rFonts w:ascii="Calibri" w:eastAsia="Calibri" w:hAnsi="Calibri" w:cs="Times New Roman"/>
        </w:rPr>
        <w:t xml:space="preserve"> and Y</w:t>
      </w:r>
      <w:r w:rsidRPr="00507F90">
        <w:rPr>
          <w:rFonts w:ascii="Calibri" w:eastAsia="Calibri" w:hAnsi="Calibri" w:cs="Times New Roman"/>
          <w:vertAlign w:val="subscript"/>
        </w:rPr>
        <w:t>o</w:t>
      </w:r>
      <w:r w:rsidRPr="00507F90">
        <w:rPr>
          <w:rFonts w:ascii="Calibri" w:eastAsia="Calibri" w:hAnsi="Calibri" w:cs="Times New Roman"/>
        </w:rPr>
        <w:t xml:space="preserve"> to denote the potential outcomes in presence and absence of the treatment, respectively. The observed outcome Y for an individual will be Y</w:t>
      </w:r>
      <w:r w:rsidRPr="00507F90">
        <w:rPr>
          <w:rFonts w:ascii="Calibri" w:eastAsia="Calibri" w:hAnsi="Calibri" w:cs="Times New Roman"/>
          <w:vertAlign w:val="subscript"/>
        </w:rPr>
        <w:t>1</w:t>
      </w:r>
      <w:r w:rsidRPr="00507F90">
        <w:rPr>
          <w:rFonts w:ascii="Calibri" w:eastAsia="Calibri" w:hAnsi="Calibri" w:cs="Times New Roman"/>
        </w:rPr>
        <w:t xml:space="preserve"> if the individual is  treated and Y</w:t>
      </w:r>
      <w:r w:rsidRPr="00507F90">
        <w:rPr>
          <w:rFonts w:ascii="Calibri" w:eastAsia="Calibri" w:hAnsi="Calibri" w:cs="Times New Roman"/>
          <w:vertAlign w:val="subscript"/>
        </w:rPr>
        <w:t>o</w:t>
      </w:r>
      <w:r w:rsidRPr="00507F90">
        <w:rPr>
          <w:rFonts w:ascii="Calibri" w:eastAsia="Calibri" w:hAnsi="Calibri" w:cs="Times New Roman"/>
        </w:rPr>
        <w:t xml:space="preserve"> otherwise, We use the binary variable D to indicate the treatment status of the observed units. D=1 for those who participate and D=0 for those who do not participate. Then the observed outcome is: </w:t>
      </w:r>
    </w:p>
    <w:p w:rsidR="00783DCD" w:rsidRPr="00507F90" w:rsidRDefault="00783DCD" w:rsidP="00783DCD">
      <w:pPr>
        <w:spacing w:line="360" w:lineRule="auto"/>
        <w:jc w:val="both"/>
        <w:rPr>
          <w:rFonts w:ascii="Calibri" w:eastAsia="Calibri" w:hAnsi="Calibri" w:cs="Times New Roman"/>
          <w:vertAlign w:val="subscript"/>
        </w:rPr>
      </w:pPr>
      <w:r w:rsidRPr="00507F90">
        <w:rPr>
          <w:rFonts w:ascii="Calibri" w:eastAsia="Calibri" w:hAnsi="Calibri" w:cs="Times New Roman"/>
          <w:position w:val="-10"/>
        </w:rPr>
        <w:object w:dxaOrig="1160" w:dyaOrig="320">
          <v:shape id="_x0000_i1051" type="#_x0000_t75" style="width:57.75pt;height:15.75pt" o:ole="">
            <v:imagedata r:id="rId56" o:title=""/>
          </v:shape>
          <o:OLEObject Type="Embed" ProgID="Equation.3" ShapeID="_x0000_i1051" DrawAspect="Content" ObjectID="_1552297464" r:id="rId57"/>
        </w:object>
      </w:r>
      <w:r w:rsidRPr="00507F90">
        <w:rPr>
          <w:rFonts w:ascii="Calibri" w:eastAsia="Calibri" w:hAnsi="Calibri" w:cs="Times New Roman"/>
        </w:rPr>
        <w:t>Y</w:t>
      </w:r>
      <w:r w:rsidRPr="00507F90">
        <w:rPr>
          <w:rFonts w:ascii="Calibri" w:eastAsia="Calibri" w:hAnsi="Calibri" w:cs="Times New Roman"/>
          <w:vertAlign w:val="subscript"/>
        </w:rPr>
        <w:t>0</w:t>
      </w:r>
      <w:r w:rsidRPr="00507F90">
        <w:rPr>
          <w:rFonts w:ascii="Calibri" w:eastAsia="Calibri" w:hAnsi="Calibri" w:cs="Times New Roman"/>
        </w:rPr>
        <w:t>+DY</w:t>
      </w:r>
      <w:r w:rsidRPr="00507F90">
        <w:rPr>
          <w:rFonts w:ascii="Calibri" w:eastAsia="Calibri" w:hAnsi="Calibri" w:cs="Times New Roman"/>
          <w:vertAlign w:val="subscript"/>
        </w:rPr>
        <w:t xml:space="preserve">1. </w:t>
      </w:r>
      <w:r w:rsidRPr="00507F90">
        <w:rPr>
          <w:rFonts w:ascii="Calibri" w:eastAsia="Calibri" w:hAnsi="Calibri" w:cs="Times New Roman"/>
        </w:rPr>
        <w:t xml:space="preserve">When a given unit is treated, then D=1, and thus (1-D)=0. The observed outcome for this unit will be:  </w:t>
      </w:r>
      <w:r w:rsidRPr="00507F90">
        <w:rPr>
          <w:rFonts w:ascii="Calibri" w:eastAsia="Calibri" w:hAnsi="Calibri" w:cs="Times New Roman"/>
          <w:position w:val="-12"/>
        </w:rPr>
        <w:object w:dxaOrig="1160" w:dyaOrig="360">
          <v:shape id="_x0000_i1052" type="#_x0000_t75" style="width:57.75pt;height:18pt" o:ole="">
            <v:imagedata r:id="rId58" o:title=""/>
          </v:shape>
          <o:OLEObject Type="Embed" ProgID="Equation.3" ShapeID="_x0000_i1052" DrawAspect="Content" ObjectID="_1552297465" r:id="rId59"/>
        </w:object>
      </w:r>
      <w:r w:rsidRPr="00507F90">
        <w:rPr>
          <w:rFonts w:ascii="Calibri" w:eastAsia="Calibri" w:hAnsi="Calibri" w:cs="Times New Roman"/>
        </w:rPr>
        <w:t>Y</w:t>
      </w:r>
      <w:r w:rsidRPr="00507F90">
        <w:rPr>
          <w:rFonts w:ascii="Calibri" w:eastAsia="Calibri" w:hAnsi="Calibri" w:cs="Times New Roman"/>
          <w:vertAlign w:val="subscript"/>
        </w:rPr>
        <w:t>1</w:t>
      </w:r>
      <w:r w:rsidRPr="00507F90">
        <w:rPr>
          <w:rFonts w:ascii="Calibri" w:eastAsia="Calibri" w:hAnsi="Calibri" w:cs="Times New Roman"/>
        </w:rPr>
        <w:t>=Y</w:t>
      </w:r>
      <w:r w:rsidRPr="00507F90">
        <w:rPr>
          <w:rFonts w:ascii="Calibri" w:eastAsia="Calibri" w:hAnsi="Calibri" w:cs="Times New Roman"/>
          <w:vertAlign w:val="subscript"/>
        </w:rPr>
        <w:t>1</w:t>
      </w:r>
    </w:p>
    <w:p w:rsidR="00783DCD"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which means that the observed outcome (Y) for treated units is equal to the potential  outcome in case of treatment (Y</w:t>
      </w:r>
      <w:r w:rsidRPr="00507F90">
        <w:rPr>
          <w:rFonts w:ascii="Calibri" w:eastAsia="Calibri" w:hAnsi="Calibri" w:cs="Times New Roman"/>
          <w:vertAlign w:val="subscript"/>
        </w:rPr>
        <w:t>1</w:t>
      </w:r>
      <w:r w:rsidRPr="00507F90">
        <w:rPr>
          <w:rFonts w:ascii="Calibri" w:eastAsia="Calibri" w:hAnsi="Calibri" w:cs="Times New Roman"/>
        </w:rPr>
        <w:t>). In this case, the potential outcome in absence of treatment, Yo, is not observed: since the unit was treated, it is impossible to know what would have happened to this unit in absence of treatment. For a treated unit Yo is the counterfactual. Similarly, when the  unit is not treated, D=0 and (1-D) =1, and thus Y=Yo. In this case, the counterfactual is Y</w:t>
      </w:r>
      <w:r w:rsidRPr="00507F90">
        <w:rPr>
          <w:rFonts w:ascii="Calibri" w:eastAsia="Calibri" w:hAnsi="Calibri" w:cs="Times New Roman"/>
          <w:vertAlign w:val="subscript"/>
        </w:rPr>
        <w:t>1</w:t>
      </w:r>
      <w:r w:rsidRPr="00507F90">
        <w:rPr>
          <w:rFonts w:ascii="Calibri" w:eastAsia="Calibri" w:hAnsi="Calibri" w:cs="Times New Roman"/>
        </w:rPr>
        <w:t>.</w:t>
      </w:r>
    </w:p>
    <w:p w:rsidR="00696EE2" w:rsidRPr="00507F90" w:rsidRDefault="00783DCD" w:rsidP="00783DCD">
      <w:pPr>
        <w:spacing w:line="360" w:lineRule="auto"/>
        <w:jc w:val="both"/>
        <w:rPr>
          <w:rFonts w:ascii="Calibri" w:eastAsia="Calibri" w:hAnsi="Calibri" w:cs="Times New Roman"/>
        </w:rPr>
      </w:pPr>
      <w:r w:rsidRPr="00507F90">
        <w:rPr>
          <w:rFonts w:ascii="Calibri" w:eastAsia="Calibri" w:hAnsi="Calibri" w:cs="Times New Roman"/>
        </w:rPr>
        <w:t>Random assignment methods assure that the treatment is independent of Y</w:t>
      </w:r>
      <w:r w:rsidRPr="00507F90">
        <w:rPr>
          <w:rFonts w:ascii="Calibri" w:eastAsia="Calibri" w:hAnsi="Calibri" w:cs="Times New Roman"/>
          <w:vertAlign w:val="subscript"/>
        </w:rPr>
        <w:t>o</w:t>
      </w:r>
      <w:r w:rsidRPr="00507F90">
        <w:rPr>
          <w:rFonts w:ascii="Calibri" w:eastAsia="Calibri" w:hAnsi="Calibri" w:cs="Times New Roman"/>
        </w:rPr>
        <w:t xml:space="preserve"> and Y</w:t>
      </w:r>
      <w:r w:rsidRPr="00507F90">
        <w:rPr>
          <w:rFonts w:ascii="Calibri" w:eastAsia="Calibri" w:hAnsi="Calibri" w:cs="Times New Roman"/>
          <w:vertAlign w:val="subscript"/>
        </w:rPr>
        <w:t>1</w:t>
      </w:r>
      <w:r w:rsidRPr="00507F90">
        <w:rPr>
          <w:rFonts w:ascii="Calibri" w:eastAsia="Calibri" w:hAnsi="Calibri" w:cs="Times New Roman"/>
        </w:rPr>
        <w:t xml:space="preserve">  and the factors influencing them. The average treatment effect for those subject to random assignment may be estimated as the simple difference in mean outcomes for  those assigned to treatment and those assigned to the control group. In nonrandom assignment,  treatment  may be correlated with factors influencing Y</w:t>
      </w:r>
      <w:r w:rsidRPr="00507F90">
        <w:rPr>
          <w:rFonts w:ascii="Calibri" w:eastAsia="Calibri" w:hAnsi="Calibri" w:cs="Times New Roman"/>
          <w:vertAlign w:val="subscript"/>
        </w:rPr>
        <w:t>o</w:t>
      </w:r>
      <w:r w:rsidRPr="00507F90">
        <w:rPr>
          <w:rFonts w:ascii="Calibri" w:eastAsia="Calibri" w:hAnsi="Calibri" w:cs="Times New Roman"/>
        </w:rPr>
        <w:t xml:space="preserve"> and Y</w:t>
      </w:r>
      <w:r w:rsidRPr="00507F90">
        <w:rPr>
          <w:rFonts w:ascii="Calibri" w:eastAsia="Calibri" w:hAnsi="Calibri" w:cs="Times New Roman"/>
          <w:vertAlign w:val="subscript"/>
        </w:rPr>
        <w:t>1</w:t>
      </w:r>
      <w:r w:rsidRPr="00507F90">
        <w:rPr>
          <w:rFonts w:ascii="Calibri" w:eastAsia="Calibri" w:hAnsi="Calibri" w:cs="Times New Roman"/>
        </w:rPr>
        <w:t xml:space="preserve">,  participants may differ from nonparticipants in many ways. So the simple difference in outcomes between participants and nonparticipants will not necessarily identify the impact of the intervention. Matching methods ensure that impact estimates are based on outcome differences between comparable individuals.  Such approach has been adopted in the present case. PSM uses information from a pool of units that do not participate in the intervention to identify what would have happened to participating units in the  absence of the intervention. By comparing how outcomes differ for participants relative to  observationally similar non participants, it is possible to estimate the effects of the intervention. Propensity-score matching, one of the most important innovations in developing workable matching methods, allows this matching problem to be reduced to a single dimension.  The propensity score is defined as the probability that a unit in the combined sample of treated and untreated units receives the treatment, given a set of observed variables. If all information relevant to participation and outcomes is observable to the researcher, the propensity score (or probability of participation) will produce valid matches for estimating the impact of an intervention. Therefore, rather than attempting to match on all values of the variables, cases can be compared on the basis of propensity scores alone. </w:t>
      </w:r>
    </w:p>
    <w:p w:rsidR="002F003E" w:rsidRPr="002F003E" w:rsidRDefault="002F003E" w:rsidP="002F003E">
      <w:pPr>
        <w:rPr>
          <w:b/>
        </w:rPr>
      </w:pPr>
      <w:r w:rsidRPr="002F003E">
        <w:rPr>
          <w:b/>
        </w:rPr>
        <w:t xml:space="preserve">Sampling Strategy </w:t>
      </w:r>
    </w:p>
    <w:p w:rsidR="002F003E" w:rsidRPr="002F003E" w:rsidRDefault="002F003E" w:rsidP="002F003E">
      <w:pPr>
        <w:rPr>
          <w:b/>
        </w:rPr>
      </w:pPr>
      <w:r w:rsidRPr="002F003E">
        <w:rPr>
          <w:b/>
        </w:rPr>
        <w:t>Sample size of Households/Respondents</w:t>
      </w:r>
      <w:r w:rsidR="00C75316">
        <w:rPr>
          <w:b/>
        </w:rPr>
        <w:t xml:space="preserve">  (Treatment group)</w:t>
      </w:r>
    </w:p>
    <w:p w:rsidR="002F003E" w:rsidRPr="00D57DE0" w:rsidRDefault="00163CE0" w:rsidP="002F003E">
      <w:r w:rsidRPr="00D57DE0">
        <w:t>W</w:t>
      </w:r>
      <w:r w:rsidR="002F003E" w:rsidRPr="00D57DE0">
        <w:t>e have determined a representative sample size of respondents and for such purpose we have used the following statistical formula.</w:t>
      </w:r>
    </w:p>
    <w:p w:rsidR="002F003E" w:rsidRPr="00D57DE0" w:rsidRDefault="002F003E" w:rsidP="002F003E">
      <w:r w:rsidRPr="00D57DE0">
        <w:t>n = n</w:t>
      </w:r>
      <w:r w:rsidRPr="00D57DE0">
        <w:rPr>
          <w:vertAlign w:val="subscript"/>
        </w:rPr>
        <w:t>0</w:t>
      </w:r>
      <w:r w:rsidRPr="00D57DE0">
        <w:t>/ 1+ ( n</w:t>
      </w:r>
      <w:r w:rsidRPr="00D57DE0">
        <w:rPr>
          <w:vertAlign w:val="subscript"/>
        </w:rPr>
        <w:t>0</w:t>
      </w:r>
      <w:r w:rsidRPr="00D57DE0">
        <w:t xml:space="preserve"> -1)/N  where, n</w:t>
      </w:r>
      <w:r w:rsidRPr="00D57DE0">
        <w:rPr>
          <w:vertAlign w:val="subscript"/>
        </w:rPr>
        <w:t xml:space="preserve">0 </w:t>
      </w:r>
      <w:r w:rsidRPr="00D57DE0">
        <w:t xml:space="preserve">= First approximation = z </w:t>
      </w:r>
      <w:r w:rsidRPr="00D57DE0">
        <w:rPr>
          <w:vertAlign w:val="superscript"/>
        </w:rPr>
        <w:t xml:space="preserve">2 </w:t>
      </w:r>
      <w:r w:rsidRPr="00D57DE0">
        <w:t>p q/ e</w:t>
      </w:r>
      <w:r w:rsidRPr="00D57DE0">
        <w:rPr>
          <w:vertAlign w:val="superscript"/>
        </w:rPr>
        <w:t>2</w:t>
      </w:r>
      <w:r w:rsidR="00D241EC" w:rsidRPr="00D57DE0">
        <w:rPr>
          <w:vertAlign w:val="superscript"/>
        </w:rPr>
        <w:t xml:space="preserve">, </w:t>
      </w:r>
      <w:r w:rsidRPr="00D57DE0">
        <w:t xml:space="preserve">n = Sample size </w:t>
      </w:r>
      <w:r w:rsidR="00D241EC" w:rsidRPr="00D57DE0">
        <w:t>.</w:t>
      </w:r>
    </w:p>
    <w:p w:rsidR="002F003E" w:rsidRPr="00D57DE0" w:rsidRDefault="002F003E" w:rsidP="002F003E">
      <w:r w:rsidRPr="00D57DE0">
        <w:t>p = Estimated proportion of households having</w:t>
      </w:r>
      <w:r w:rsidR="00163CE0" w:rsidRPr="00D57DE0">
        <w:t xml:space="preserve"> sought nutritional services at least once in last six months.</w:t>
      </w:r>
      <w:r w:rsidRPr="00D57DE0">
        <w:t>q = 1-p</w:t>
      </w:r>
      <w:r w:rsidR="00D241EC" w:rsidRPr="00D57DE0">
        <w:t xml:space="preserve">, </w:t>
      </w:r>
      <w:r w:rsidRPr="00D57DE0">
        <w:t xml:space="preserve">Z = Standard normal variate value at 95% confidence level </w:t>
      </w:r>
      <w:r w:rsidR="00D241EC" w:rsidRPr="00D57DE0">
        <w:t xml:space="preserve">, </w:t>
      </w:r>
      <w:r w:rsidRPr="00D57DE0">
        <w:t xml:space="preserve">e= Precision level (5%) </w:t>
      </w:r>
    </w:p>
    <w:p w:rsidR="002F003E" w:rsidRPr="00D57DE0" w:rsidRDefault="00D241EC" w:rsidP="002F003E">
      <w:r w:rsidRPr="00D57DE0">
        <w:t xml:space="preserve">N= Total Number of households . </w:t>
      </w:r>
      <w:r w:rsidR="00355920">
        <w:t>We have used 5</w:t>
      </w:r>
      <w:r w:rsidR="002F003E" w:rsidRPr="00D57DE0">
        <w:t>0% design effect cum non-response rate.</w:t>
      </w:r>
    </w:p>
    <w:p w:rsidR="002F003E" w:rsidRDefault="002F003E" w:rsidP="002F003E">
      <w:pPr>
        <w:rPr>
          <w:b/>
        </w:rPr>
      </w:pPr>
      <w:r w:rsidRPr="002F003E">
        <w:rPr>
          <w:b/>
        </w:rPr>
        <w:t>Total estimated</w:t>
      </w:r>
      <w:r w:rsidR="00355920">
        <w:rPr>
          <w:b/>
        </w:rPr>
        <w:t xml:space="preserve"> sample size of respondents =  3</w:t>
      </w:r>
      <w:r w:rsidRPr="002F003E">
        <w:rPr>
          <w:b/>
        </w:rPr>
        <w:t>,910</w:t>
      </w:r>
    </w:p>
    <w:p w:rsidR="00C75316" w:rsidRDefault="00C75316" w:rsidP="002F003E">
      <w:pPr>
        <w:rPr>
          <w:b/>
        </w:rPr>
      </w:pPr>
      <w:r w:rsidRPr="00C75316">
        <w:rPr>
          <w:b/>
        </w:rPr>
        <w:t>Sample size of Households/Respondents  (</w:t>
      </w:r>
      <w:r>
        <w:rPr>
          <w:b/>
        </w:rPr>
        <w:t>Control</w:t>
      </w:r>
      <w:r w:rsidRPr="00C75316">
        <w:rPr>
          <w:b/>
        </w:rPr>
        <w:t xml:space="preserve"> group)</w:t>
      </w:r>
    </w:p>
    <w:p w:rsidR="00C75316" w:rsidRPr="009E64CC" w:rsidRDefault="00C75316" w:rsidP="002F003E">
      <w:r w:rsidRPr="009E64CC">
        <w:t>Sample size for control group is also the same i.e., 3910</w:t>
      </w:r>
    </w:p>
    <w:p w:rsidR="00C75316" w:rsidRDefault="00C75316" w:rsidP="002F003E">
      <w:pPr>
        <w:rPr>
          <w:b/>
        </w:rPr>
      </w:pPr>
      <w:r>
        <w:rPr>
          <w:b/>
        </w:rPr>
        <w:t>Thus, total sample size for the study is = 7,820.</w:t>
      </w:r>
    </w:p>
    <w:p w:rsidR="0025615D" w:rsidRDefault="0025615D" w:rsidP="002F003E">
      <w:pPr>
        <w:rPr>
          <w:b/>
        </w:rPr>
      </w:pPr>
      <w:r>
        <w:rPr>
          <w:b/>
        </w:rPr>
        <w:t>4. Data Description</w:t>
      </w:r>
    </w:p>
    <w:p w:rsidR="0025615D" w:rsidRDefault="00355920" w:rsidP="00696EE2">
      <w:r>
        <w:t xml:space="preserve">The study was conducted all over Bangladesh. For the sample of 3910 respondents  a three-stage stratified random </w:t>
      </w:r>
      <w:r w:rsidR="00696EE2">
        <w:t>sampling strategy was adopted. After proportional to 7 Divisions, Upazilla (an administrative unit) was considered as Primary Sampling units (PSUs).  From every Division, 5% upazillas were selected using PPS and within each selected upazilla, 10% Unions were selected  at the second stage and within selected Union, allotted number of households were selected using SRS. It may be noted that, from every selected household, household head was brought under  the study as study agent/respondent.</w:t>
      </w:r>
      <w:r w:rsidR="00C75316">
        <w:t xml:space="preserve"> Control group respondents were selected from Upaazillas other than those for treatment group.</w:t>
      </w:r>
    </w:p>
    <w:p w:rsidR="00DB5FF7" w:rsidRPr="00DB5FF7" w:rsidRDefault="0025615D" w:rsidP="00DB5FF7">
      <w:pPr>
        <w:rPr>
          <w:b/>
        </w:rPr>
      </w:pPr>
      <w:r>
        <w:rPr>
          <w:b/>
        </w:rPr>
        <w:t>5</w:t>
      </w:r>
      <w:r w:rsidR="00DB5FF7" w:rsidRPr="00DB5FF7">
        <w:rPr>
          <w:b/>
        </w:rPr>
        <w:t xml:space="preserve">. Study Results and Analysis </w:t>
      </w:r>
    </w:p>
    <w:p w:rsidR="00DB5FF7" w:rsidRPr="00D57DE0" w:rsidRDefault="00DB5FF7" w:rsidP="00DB5FF7">
      <w:pPr>
        <w:rPr>
          <w:sz w:val="24"/>
        </w:rPr>
      </w:pPr>
      <w:r w:rsidRPr="00D57DE0">
        <w:rPr>
          <w:sz w:val="24"/>
        </w:rPr>
        <w:t>In this section we present our study findings in association with brief analysis.</w:t>
      </w:r>
    </w:p>
    <w:p w:rsidR="00DB5FF7" w:rsidRDefault="00DB5FF7" w:rsidP="00DB5FF7">
      <w:pPr>
        <w:rPr>
          <w:sz w:val="24"/>
        </w:rPr>
      </w:pPr>
      <w:r w:rsidRPr="00D57DE0">
        <w:rPr>
          <w:sz w:val="24"/>
        </w:rPr>
        <w:t xml:space="preserve">Propensity score has been obtained using Binary probit on </w:t>
      </w:r>
      <w:r w:rsidR="00563A80" w:rsidRPr="00D57DE0">
        <w:rPr>
          <w:sz w:val="24"/>
        </w:rPr>
        <w:t>project</w:t>
      </w:r>
      <w:r w:rsidRPr="00D57DE0">
        <w:rPr>
          <w:sz w:val="24"/>
        </w:rPr>
        <w:t xml:space="preserve"> involvement on covariates </w:t>
      </w:r>
      <w:r w:rsidR="00190DEF">
        <w:rPr>
          <w:sz w:val="24"/>
        </w:rPr>
        <w:t xml:space="preserve">like age of respondent, </w:t>
      </w:r>
      <w:r w:rsidRPr="00D57DE0">
        <w:rPr>
          <w:sz w:val="24"/>
        </w:rPr>
        <w:t xml:space="preserve"> year</w:t>
      </w:r>
      <w:r w:rsidR="00190DEF">
        <w:rPr>
          <w:sz w:val="24"/>
        </w:rPr>
        <w:t>s</w:t>
      </w:r>
      <w:r w:rsidRPr="00D57DE0">
        <w:rPr>
          <w:sz w:val="24"/>
        </w:rPr>
        <w:t xml:space="preserve"> of schooling, income, family size</w:t>
      </w:r>
      <w:r w:rsidR="00190DEF">
        <w:rPr>
          <w:sz w:val="24"/>
        </w:rPr>
        <w:t>, land size, awareness about nutrition services, claim rights</w:t>
      </w:r>
      <w:r w:rsidR="004D45E5">
        <w:rPr>
          <w:sz w:val="24"/>
        </w:rPr>
        <w:t>, purchase decision</w:t>
      </w:r>
      <w:r w:rsidRPr="00D57DE0">
        <w:rPr>
          <w:sz w:val="24"/>
        </w:rPr>
        <w:t xml:space="preserve"> etc).</w:t>
      </w:r>
    </w:p>
    <w:p w:rsidR="00D57DE0" w:rsidRPr="00D57DE0" w:rsidRDefault="00D57DE0" w:rsidP="00D57DE0">
      <w:r w:rsidRPr="00D57DE0">
        <w:rPr>
          <w:b/>
        </w:rPr>
        <w:t>Estimation Method</w:t>
      </w:r>
    </w:p>
    <w:p w:rsidR="00D57DE0" w:rsidRPr="00D57DE0" w:rsidRDefault="00D57DE0" w:rsidP="00D57DE0">
      <w:r w:rsidRPr="00D57DE0">
        <w:t>Maximum Likelihood  (ML) techniques has been adopted to estimate the parameters in the PSM frame work.</w:t>
      </w:r>
    </w:p>
    <w:p w:rsidR="00D57DE0" w:rsidRDefault="00D57DE0" w:rsidP="00DB5FF7"/>
    <w:p w:rsidR="001739CC" w:rsidRDefault="001739CC" w:rsidP="00DB5FF7"/>
    <w:p w:rsidR="001739CC" w:rsidRDefault="001739CC" w:rsidP="00DB5FF7"/>
    <w:p w:rsidR="001739CC" w:rsidRDefault="001739CC" w:rsidP="00DB5FF7"/>
    <w:p w:rsidR="001739CC" w:rsidRPr="00D57DE0" w:rsidRDefault="001739CC" w:rsidP="00DB5FF7"/>
    <w:p w:rsidR="00DB5FF7" w:rsidRPr="00DB5FF7" w:rsidRDefault="001739CC" w:rsidP="00DB5FF7">
      <w:pPr>
        <w:rPr>
          <w:b/>
        </w:rPr>
      </w:pPr>
      <w:r>
        <w:rPr>
          <w:b/>
        </w:rPr>
        <w:t>T</w:t>
      </w:r>
      <w:r w:rsidR="00190DEF">
        <w:rPr>
          <w:b/>
        </w:rPr>
        <w:t>a</w:t>
      </w:r>
      <w:r w:rsidR="00DB5FF7" w:rsidRPr="00DB5FF7">
        <w:rPr>
          <w:b/>
        </w:rPr>
        <w:t>ble1: Probit</w:t>
      </w:r>
      <w:r w:rsidR="00190DEF">
        <w:rPr>
          <w:b/>
        </w:rPr>
        <w:t xml:space="preserve"> Estimation results</w:t>
      </w:r>
    </w:p>
    <w:p w:rsidR="00DB5FF7" w:rsidRPr="00DB5FF7" w:rsidRDefault="00DB5FF7" w:rsidP="00DB5FF7">
      <w:pPr>
        <w:rPr>
          <w:b/>
        </w:rPr>
      </w:pPr>
      <w:r w:rsidRPr="00DB5FF7">
        <w:rPr>
          <w:b/>
        </w:rPr>
        <w:t>Log likelihood= -1746.45</w:t>
      </w:r>
    </w:p>
    <w:p w:rsidR="00DB5FF7" w:rsidRPr="00407B7F" w:rsidRDefault="00DB5FF7" w:rsidP="00DB5FF7">
      <w:pPr>
        <w:rPr>
          <w:b/>
          <w:lang w:val="es-ES"/>
        </w:rPr>
      </w:pPr>
      <w:r w:rsidRPr="00407B7F">
        <w:rPr>
          <w:b/>
          <w:lang w:val="es-ES"/>
        </w:rPr>
        <w:t>Variable</w:t>
      </w:r>
      <w:r w:rsidR="003A3739" w:rsidRPr="00407B7F">
        <w:rPr>
          <w:b/>
          <w:lang w:val="es-ES"/>
        </w:rPr>
        <w:t xml:space="preserve">                                                           Z                       P</w:t>
      </w:r>
      <w:r w:rsidR="00B813C9" w:rsidRPr="00407B7F">
        <w:rPr>
          <w:b/>
          <w:lang w:val="es-ES"/>
        </w:rPr>
        <w:t>(Z&gt;</w:t>
      </w:r>
      <w:r w:rsidR="003A3739" w:rsidRPr="00407B7F">
        <w:rPr>
          <w:b/>
          <w:lang w:val="es-ES"/>
        </w:rPr>
        <w:t>|Z|</w:t>
      </w:r>
      <w:r w:rsidR="00B813C9" w:rsidRPr="00407B7F">
        <w:rPr>
          <w:b/>
          <w:lang w:val="es-ES"/>
        </w:rPr>
        <w:t>)</w:t>
      </w:r>
      <w:r w:rsidR="003A3739">
        <w:rPr>
          <w:rFonts w:cstheme="minorHAnsi"/>
          <w:b/>
        </w:rPr>
        <w:t>β</w:t>
      </w:r>
    </w:p>
    <w:p w:rsidR="003A3739" w:rsidRDefault="00DB5FF7" w:rsidP="004D45E5">
      <w:r w:rsidRPr="00DB5FF7">
        <w:t xml:space="preserve">Years of schooling </w:t>
      </w:r>
      <w:r w:rsidR="003A3739">
        <w:t xml:space="preserve">                                        3.98                   .00                           .43</w:t>
      </w:r>
    </w:p>
    <w:p w:rsidR="003A3739" w:rsidRDefault="00DB5FF7" w:rsidP="004D45E5">
      <w:r w:rsidRPr="00DB5FF7">
        <w:t>Age of respondent</w:t>
      </w:r>
      <w:r w:rsidR="003A3739">
        <w:tab/>
        <w:t>4.15                  .00                            .54</w:t>
      </w:r>
    </w:p>
    <w:p w:rsidR="003A3739" w:rsidRDefault="003A3739" w:rsidP="004D45E5">
      <w:r>
        <w:t>Education of respondent                              3.87                  .00                            .74</w:t>
      </w:r>
    </w:p>
    <w:p w:rsidR="00DB5FF7" w:rsidRPr="00DB5FF7" w:rsidRDefault="00DB5FF7" w:rsidP="004D45E5">
      <w:r w:rsidRPr="00DB5FF7">
        <w:t>Log (per capita Expenditure)</w:t>
      </w:r>
      <w:r w:rsidRPr="00DB5FF7">
        <w:tab/>
        <w:t>4</w:t>
      </w:r>
      <w:r w:rsidRPr="00DB5FF7">
        <w:tab/>
        <w:t>.00</w:t>
      </w:r>
      <w:r w:rsidRPr="00DB5FF7">
        <w:tab/>
        <w:t>.13</w:t>
      </w:r>
    </w:p>
    <w:p w:rsidR="00DB5FF7" w:rsidRPr="00DB5FF7" w:rsidRDefault="00DB5FF7" w:rsidP="004D45E5">
      <w:r w:rsidRPr="00DB5FF7">
        <w:t>Log (land size)6</w:t>
      </w:r>
      <w:r w:rsidRPr="00DB5FF7">
        <w:tab/>
      </w:r>
      <w:r w:rsidR="001739CC">
        <w:t>.</w:t>
      </w:r>
      <w:r w:rsidRPr="00DB5FF7">
        <w:t>00</w:t>
      </w:r>
      <w:r w:rsidRPr="00DB5FF7">
        <w:tab/>
        <w:t>.08</w:t>
      </w:r>
    </w:p>
    <w:p w:rsidR="00DB5FF7" w:rsidRPr="00DB5FF7" w:rsidRDefault="00DB5FF7" w:rsidP="004D45E5">
      <w:r w:rsidRPr="00DB5FF7">
        <w:t xml:space="preserve">Non-farm income </w:t>
      </w:r>
      <w:r w:rsidRPr="00DB5FF7">
        <w:tab/>
        <w:t>8</w:t>
      </w:r>
      <w:r w:rsidRPr="00DB5FF7">
        <w:tab/>
        <w:t>.00</w:t>
      </w:r>
      <w:r w:rsidRPr="00DB5FF7">
        <w:tab/>
        <w:t>.10</w:t>
      </w:r>
    </w:p>
    <w:p w:rsidR="00DB5FF7" w:rsidRDefault="00DB5FF7" w:rsidP="004D45E5">
      <w:r w:rsidRPr="00DB5FF7">
        <w:t>Household size4.8</w:t>
      </w:r>
      <w:r w:rsidRPr="00DB5FF7">
        <w:tab/>
        <w:t>.00</w:t>
      </w:r>
      <w:r w:rsidRPr="00DB5FF7">
        <w:tab/>
        <w:t>.09</w:t>
      </w:r>
    </w:p>
    <w:p w:rsidR="00D57DE0" w:rsidRPr="00D57DE0" w:rsidRDefault="00D57DE0" w:rsidP="004D45E5">
      <w:r w:rsidRPr="00D57DE0">
        <w:t>Claim rights</w:t>
      </w:r>
      <w:r w:rsidR="00FE0202">
        <w:t xml:space="preserve">                                                   3.12                  .00                            .37</w:t>
      </w:r>
    </w:p>
    <w:p w:rsidR="00D57DE0" w:rsidRPr="00D57DE0" w:rsidRDefault="00D57DE0" w:rsidP="004D45E5">
      <w:r w:rsidRPr="00D57DE0">
        <w:t>Awareness of nutrition services</w:t>
      </w:r>
      <w:r w:rsidR="00FE0202">
        <w:t xml:space="preserve">                2</w:t>
      </w:r>
      <w:r w:rsidR="00FE0202" w:rsidRPr="00FE0202">
        <w:t>.12                 .00</w:t>
      </w:r>
      <w:r w:rsidR="00FE0202">
        <w:t>5</w:t>
      </w:r>
      <w:r w:rsidR="00FE0202" w:rsidRPr="00FE0202">
        <w:t xml:space="preserve">                          .</w:t>
      </w:r>
      <w:r w:rsidR="00FE0202">
        <w:t>4</w:t>
      </w:r>
      <w:r w:rsidR="00FE0202" w:rsidRPr="00FE0202">
        <w:t>7</w:t>
      </w:r>
    </w:p>
    <w:p w:rsidR="00FE0202" w:rsidRDefault="00D57DE0" w:rsidP="004D45E5">
      <w:r w:rsidRPr="00D57DE0">
        <w:t xml:space="preserve">Participation of women in </w:t>
      </w:r>
    </w:p>
    <w:p w:rsidR="00D57DE0" w:rsidRPr="00D57DE0" w:rsidRDefault="00D57DE0" w:rsidP="00D57DE0">
      <w:pPr>
        <w:rPr>
          <w:b/>
        </w:rPr>
      </w:pPr>
      <w:r w:rsidRPr="00D57DE0">
        <w:rPr>
          <w:b/>
        </w:rPr>
        <w:t>purchase decision</w:t>
      </w:r>
      <w:r w:rsidR="00FE0202">
        <w:rPr>
          <w:b/>
        </w:rPr>
        <w:t xml:space="preserve">                                       4</w:t>
      </w:r>
      <w:r w:rsidR="00FE0202" w:rsidRPr="00FE0202">
        <w:rPr>
          <w:b/>
        </w:rPr>
        <w:t>.12                .0</w:t>
      </w:r>
      <w:r w:rsidR="00FE0202">
        <w:rPr>
          <w:b/>
        </w:rPr>
        <w:t>0                             .6</w:t>
      </w:r>
      <w:r w:rsidR="00FE0202" w:rsidRPr="00FE0202">
        <w:rPr>
          <w:b/>
        </w:rPr>
        <w:t>7</w:t>
      </w:r>
    </w:p>
    <w:p w:rsidR="00FE0202" w:rsidRDefault="00D57DE0" w:rsidP="00D57DE0">
      <w:pPr>
        <w:rPr>
          <w:b/>
        </w:rPr>
      </w:pPr>
      <w:r w:rsidRPr="00D57DE0">
        <w:rPr>
          <w:b/>
        </w:rPr>
        <w:t xml:space="preserve">Participation of women in Income </w:t>
      </w:r>
    </w:p>
    <w:p w:rsidR="00FE0202" w:rsidRDefault="00D57DE0" w:rsidP="00D57DE0">
      <w:pPr>
        <w:rPr>
          <w:b/>
        </w:rPr>
      </w:pPr>
      <w:r w:rsidRPr="00D57DE0">
        <w:rPr>
          <w:b/>
        </w:rPr>
        <w:t>generation activities</w:t>
      </w:r>
      <w:r w:rsidR="00FE0202" w:rsidRPr="00FE0202">
        <w:rPr>
          <w:b/>
        </w:rPr>
        <w:t>3.</w:t>
      </w:r>
      <w:r w:rsidR="00FE0202">
        <w:rPr>
          <w:b/>
        </w:rPr>
        <w:t>24</w:t>
      </w:r>
      <w:r w:rsidR="00FE0202" w:rsidRPr="00FE0202">
        <w:rPr>
          <w:b/>
        </w:rPr>
        <w:t>.00                             .3</w:t>
      </w:r>
      <w:r w:rsidR="001739CC">
        <w:rPr>
          <w:b/>
        </w:rPr>
        <w:t>5</w:t>
      </w:r>
    </w:p>
    <w:p w:rsidR="00FE0202" w:rsidRDefault="00D57DE0" w:rsidP="00D57DE0">
      <w:pPr>
        <w:rPr>
          <w:b/>
        </w:rPr>
      </w:pPr>
      <w:r w:rsidRPr="00D57DE0">
        <w:rPr>
          <w:b/>
        </w:rPr>
        <w:t>Participation of women in</w:t>
      </w:r>
    </w:p>
    <w:p w:rsidR="00FE0202" w:rsidRDefault="00D57DE0" w:rsidP="00D57DE0">
      <w:pPr>
        <w:rPr>
          <w:b/>
        </w:rPr>
      </w:pPr>
      <w:r w:rsidRPr="00D57DE0">
        <w:rPr>
          <w:b/>
        </w:rPr>
        <w:t xml:space="preserve"> marriage decision</w:t>
      </w:r>
      <w:r w:rsidR="00FE0202" w:rsidRPr="00FE0202">
        <w:rPr>
          <w:b/>
        </w:rPr>
        <w:t>3.</w:t>
      </w:r>
      <w:r w:rsidR="00FE0202">
        <w:rPr>
          <w:b/>
        </w:rPr>
        <w:t>3</w:t>
      </w:r>
      <w:r w:rsidR="00FE0202" w:rsidRPr="00FE0202">
        <w:rPr>
          <w:b/>
        </w:rPr>
        <w:t>2                 .0</w:t>
      </w:r>
      <w:r w:rsidR="00FE0202">
        <w:rPr>
          <w:b/>
        </w:rPr>
        <w:t>0                             .4</w:t>
      </w:r>
      <w:r w:rsidR="00FE0202" w:rsidRPr="00FE0202">
        <w:rPr>
          <w:b/>
        </w:rPr>
        <w:t>7</w:t>
      </w:r>
    </w:p>
    <w:p w:rsidR="00D57DE0" w:rsidRDefault="00D57DE0" w:rsidP="00DB5FF7">
      <w:pPr>
        <w:rPr>
          <w:b/>
        </w:rPr>
      </w:pPr>
    </w:p>
    <w:p w:rsidR="00DB5FF7" w:rsidRDefault="00DB5FF7" w:rsidP="00E66DEC">
      <w:r w:rsidRPr="00DB5FF7">
        <w:t xml:space="preserve">It is very much clear  from Table1 above that propensity to </w:t>
      </w:r>
      <w:r w:rsidR="003A3739">
        <w:t>ICC</w:t>
      </w:r>
      <w:r w:rsidR="001739CC">
        <w:t>O</w:t>
      </w:r>
      <w:r w:rsidRPr="00DB5FF7">
        <w:t xml:space="preserve"> involvement is very sensitive to income, size of households, land size</w:t>
      </w:r>
      <w:r w:rsidR="00AE787B">
        <w:t>, education status</w:t>
      </w:r>
      <w:r w:rsidR="00E66DEC">
        <w:t>,</w:t>
      </w:r>
      <w:r w:rsidR="00E66DEC" w:rsidRPr="00E66DEC">
        <w:t xml:space="preserve"> Claim rights </w:t>
      </w:r>
      <w:r w:rsidR="00E66DEC">
        <w:t xml:space="preserve">,  </w:t>
      </w:r>
      <w:r w:rsidR="00E66DEC" w:rsidRPr="00E66DEC">
        <w:t>Participation of women inpurchase decision</w:t>
      </w:r>
      <w:r w:rsidR="00E66DEC">
        <w:t xml:space="preserve">,  </w:t>
      </w:r>
      <w:r w:rsidR="00E66DEC" w:rsidRPr="00E66DEC">
        <w:t>Participation of women in Incom</w:t>
      </w:r>
      <w:r w:rsidR="00E66DEC">
        <w:t>e generation activities etc.</w:t>
      </w:r>
    </w:p>
    <w:p w:rsidR="009E64CC" w:rsidRDefault="009E64CC" w:rsidP="00E66DEC"/>
    <w:p w:rsidR="009E64CC" w:rsidRPr="00DB5FF7" w:rsidRDefault="009E64CC" w:rsidP="00E66DEC"/>
    <w:p w:rsidR="009B6E52" w:rsidRDefault="009B6E52" w:rsidP="00E66DEC"/>
    <w:p w:rsidR="001739CC" w:rsidRDefault="001739CC" w:rsidP="00E66DEC"/>
    <w:p w:rsidR="00DB5FF7" w:rsidRPr="00DB5FF7" w:rsidRDefault="00DB5FF7" w:rsidP="00DB5FF7">
      <w:pPr>
        <w:rPr>
          <w:b/>
        </w:rPr>
      </w:pPr>
      <w:r w:rsidRPr="00DB5FF7">
        <w:rPr>
          <w:b/>
        </w:rPr>
        <w:t>Table 2. Impact of pr</w:t>
      </w:r>
      <w:r w:rsidR="009B6E52">
        <w:rPr>
          <w:b/>
        </w:rPr>
        <w:t>o</w:t>
      </w:r>
      <w:r w:rsidRPr="00DB5FF7">
        <w:rPr>
          <w:b/>
        </w:rPr>
        <w:t>ject activities</w:t>
      </w:r>
    </w:p>
    <w:p w:rsidR="00DB5FF7" w:rsidRPr="00DB5FF7" w:rsidRDefault="00DB5FF7" w:rsidP="00DB5FF7">
      <w:pPr>
        <w:rPr>
          <w:b/>
        </w:rPr>
      </w:pPr>
      <w:r w:rsidRPr="00DB5FF7">
        <w:rPr>
          <w:b/>
        </w:rPr>
        <w:t xml:space="preserve">Per capita </w:t>
      </w:r>
    </w:p>
    <w:p w:rsidR="00DB5FF7" w:rsidRPr="00DB5FF7" w:rsidRDefault="00DB5FF7" w:rsidP="00DB5FF7">
      <w:pPr>
        <w:rPr>
          <w:b/>
        </w:rPr>
      </w:pPr>
      <w:r w:rsidRPr="00DB5FF7">
        <w:rPr>
          <w:b/>
        </w:rPr>
        <w:t>Income</w:t>
      </w:r>
      <w:r w:rsidRPr="00DB5FF7">
        <w:rPr>
          <w:b/>
        </w:rPr>
        <w:tab/>
      </w:r>
      <w:r w:rsidRPr="00DB5FF7">
        <w:rPr>
          <w:b/>
        </w:rPr>
        <w:tab/>
      </w:r>
      <w:r w:rsidRPr="00DB5FF7">
        <w:rPr>
          <w:b/>
        </w:rPr>
        <w:tab/>
      </w:r>
      <w:r w:rsidR="009B6E52">
        <w:rPr>
          <w:b/>
        </w:rPr>
        <w:t xml:space="preserve">                                                                        IC</w:t>
      </w:r>
      <w:r w:rsidRPr="00DB5FF7">
        <w:rPr>
          <w:b/>
        </w:rPr>
        <w:t>C</w:t>
      </w:r>
      <w:r w:rsidR="001739CC">
        <w:rPr>
          <w:b/>
        </w:rPr>
        <w:t>O</w:t>
      </w:r>
      <w:r w:rsidRPr="00DB5FF7">
        <w:rPr>
          <w:b/>
        </w:rPr>
        <w:t xml:space="preserve"> Project</w:t>
      </w:r>
    </w:p>
    <w:p w:rsidR="00DB5FF7" w:rsidRPr="00DB5FF7" w:rsidRDefault="00DB5FF7" w:rsidP="00DB5FF7">
      <w:pPr>
        <w:rPr>
          <w:b/>
        </w:rPr>
      </w:pPr>
      <w:r w:rsidRPr="00DB5FF7">
        <w:rPr>
          <w:b/>
        </w:rPr>
        <w:tab/>
      </w:r>
      <w:r w:rsidRPr="00DB5FF7">
        <w:rPr>
          <w:b/>
        </w:rPr>
        <w:tab/>
      </w:r>
      <w:r w:rsidRPr="00DB5FF7">
        <w:rPr>
          <w:b/>
        </w:rPr>
        <w:tab/>
      </w:r>
      <w:r w:rsidRPr="00DB5FF7">
        <w:rPr>
          <w:b/>
        </w:rPr>
        <w:tab/>
        <w:t>OLS</w:t>
      </w:r>
      <w:r w:rsidRPr="00DB5FF7">
        <w:rPr>
          <w:b/>
        </w:rPr>
        <w:tab/>
        <w:t>PSM</w:t>
      </w:r>
    </w:p>
    <w:p w:rsidR="00DB5FF7" w:rsidRPr="00DB5FF7" w:rsidRDefault="00DB5FF7" w:rsidP="00DB5FF7">
      <w:pPr>
        <w:rPr>
          <w:b/>
        </w:rPr>
      </w:pPr>
      <w:r w:rsidRPr="00DB5FF7">
        <w:rPr>
          <w:b/>
        </w:rPr>
        <w:tab/>
      </w:r>
      <w:r w:rsidRPr="00DB5FF7">
        <w:rPr>
          <w:b/>
        </w:rPr>
        <w:tab/>
      </w:r>
      <w:r w:rsidRPr="00DB5FF7">
        <w:rPr>
          <w:b/>
        </w:rPr>
        <w:tab/>
      </w:r>
      <w:r w:rsidRPr="00DB5FF7">
        <w:rPr>
          <w:b/>
        </w:rPr>
        <w:tab/>
      </w:r>
      <w:r w:rsidRPr="00DB5FF7">
        <w:rPr>
          <w:b/>
        </w:rPr>
        <w:tab/>
      </w:r>
      <w:r w:rsidRPr="00DB5FF7">
        <w:rPr>
          <w:b/>
        </w:rPr>
        <w:tab/>
        <w:t xml:space="preserve">Estimate </w:t>
      </w:r>
      <w:r w:rsidRPr="00DB5FF7">
        <w:rPr>
          <w:b/>
        </w:rPr>
        <w:tab/>
        <w:t>(s.e.)</w:t>
      </w:r>
      <w:r w:rsidRPr="00DB5FF7">
        <w:rPr>
          <w:b/>
        </w:rPr>
        <w:tab/>
        <w:t xml:space="preserve">Estimate </w:t>
      </w:r>
      <w:r w:rsidRPr="00DB5FF7">
        <w:rPr>
          <w:b/>
        </w:rPr>
        <w:tab/>
        <w:t>(s.e.)</w:t>
      </w:r>
    </w:p>
    <w:p w:rsidR="00DB5FF7" w:rsidRPr="00DB5FF7" w:rsidRDefault="00DB5FF7" w:rsidP="00DB5FF7">
      <w:pPr>
        <w:rPr>
          <w:b/>
        </w:rPr>
      </w:pPr>
      <w:r w:rsidRPr="00DB5FF7">
        <w:rPr>
          <w:b/>
        </w:rPr>
        <w:t xml:space="preserve">Ave effect by deciles </w:t>
      </w:r>
      <w:r w:rsidRPr="00DB5FF7">
        <w:rPr>
          <w:b/>
        </w:rPr>
        <w:tab/>
      </w:r>
      <w:r w:rsidRPr="00DB5FF7">
        <w:rPr>
          <w:b/>
        </w:rPr>
        <w:tab/>
      </w:r>
      <w:r w:rsidRPr="00DB5FF7">
        <w:rPr>
          <w:b/>
        </w:rPr>
        <w:tab/>
      </w:r>
      <w:r w:rsidRPr="00DB5FF7">
        <w:rPr>
          <w:b/>
        </w:rPr>
        <w:tab/>
        <w:t>2.6</w:t>
      </w:r>
      <w:r w:rsidRPr="00DB5FF7">
        <w:rPr>
          <w:b/>
        </w:rPr>
        <w:tab/>
        <w:t>0.1</w:t>
      </w:r>
      <w:r w:rsidRPr="00DB5FF7">
        <w:rPr>
          <w:b/>
        </w:rPr>
        <w:tab/>
        <w:t>2.4</w:t>
      </w:r>
      <w:r w:rsidRPr="00DB5FF7">
        <w:rPr>
          <w:b/>
        </w:rPr>
        <w:tab/>
        <w:t>0.2</w:t>
      </w:r>
    </w:p>
    <w:p w:rsidR="00DB5FF7" w:rsidRPr="00DB5FF7" w:rsidRDefault="00DB5FF7" w:rsidP="004D45E5">
      <w:r w:rsidRPr="00DB5FF7">
        <w:t>1</w:t>
      </w:r>
      <w:r w:rsidRPr="00DB5FF7">
        <w:tab/>
      </w:r>
      <w:r w:rsidRPr="00DB5FF7">
        <w:tab/>
      </w:r>
      <w:r w:rsidRPr="00DB5FF7">
        <w:tab/>
      </w:r>
      <w:r w:rsidRPr="00DB5FF7">
        <w:tab/>
      </w:r>
      <w:r w:rsidRPr="00DB5FF7">
        <w:tab/>
      </w:r>
      <w:r w:rsidRPr="00DB5FF7">
        <w:tab/>
        <w:t>2.2</w:t>
      </w:r>
      <w:r w:rsidRPr="00DB5FF7">
        <w:tab/>
        <w:t>0.2</w:t>
      </w:r>
      <w:r w:rsidRPr="00DB5FF7">
        <w:tab/>
        <w:t>2.3</w:t>
      </w:r>
      <w:r w:rsidRPr="00DB5FF7">
        <w:tab/>
        <w:t>0.4</w:t>
      </w:r>
    </w:p>
    <w:p w:rsidR="00DB5FF7" w:rsidRPr="00DB5FF7" w:rsidRDefault="00DB5FF7" w:rsidP="004D45E5">
      <w:r w:rsidRPr="00DB5FF7">
        <w:t>2</w:t>
      </w:r>
      <w:r w:rsidRPr="00DB5FF7">
        <w:tab/>
      </w:r>
      <w:r w:rsidRPr="00DB5FF7">
        <w:tab/>
      </w:r>
      <w:r w:rsidRPr="00DB5FF7">
        <w:tab/>
      </w:r>
      <w:r w:rsidRPr="00DB5FF7">
        <w:tab/>
      </w:r>
      <w:r w:rsidRPr="00DB5FF7">
        <w:tab/>
      </w:r>
      <w:r w:rsidRPr="00DB5FF7">
        <w:tab/>
        <w:t>2.0</w:t>
      </w:r>
      <w:r w:rsidRPr="00DB5FF7">
        <w:tab/>
        <w:t>0.3</w:t>
      </w:r>
      <w:r w:rsidRPr="00DB5FF7">
        <w:tab/>
        <w:t>2.1</w:t>
      </w:r>
      <w:r w:rsidRPr="00DB5FF7">
        <w:tab/>
        <w:t>0.5</w:t>
      </w:r>
    </w:p>
    <w:p w:rsidR="00DB5FF7" w:rsidRPr="00DB5FF7" w:rsidRDefault="00DB5FF7" w:rsidP="004D45E5">
      <w:r w:rsidRPr="00DB5FF7">
        <w:t>3</w:t>
      </w:r>
      <w:r w:rsidRPr="00DB5FF7">
        <w:tab/>
      </w:r>
      <w:r w:rsidRPr="00DB5FF7">
        <w:tab/>
      </w:r>
      <w:r w:rsidRPr="00DB5FF7">
        <w:tab/>
      </w:r>
      <w:r w:rsidRPr="00DB5FF7">
        <w:tab/>
      </w:r>
      <w:r w:rsidRPr="00DB5FF7">
        <w:tab/>
      </w:r>
      <w:r w:rsidRPr="00DB5FF7">
        <w:tab/>
        <w:t>2.2</w:t>
      </w:r>
      <w:r w:rsidRPr="00DB5FF7">
        <w:tab/>
        <w:t>0.3</w:t>
      </w:r>
      <w:r w:rsidRPr="00DB5FF7">
        <w:tab/>
        <w:t>2.3</w:t>
      </w:r>
      <w:r w:rsidRPr="00DB5FF7">
        <w:tab/>
        <w:t>0.3</w:t>
      </w:r>
    </w:p>
    <w:p w:rsidR="00DB5FF7" w:rsidRPr="00DB5FF7" w:rsidRDefault="00DB5FF7" w:rsidP="004D45E5">
      <w:r w:rsidRPr="00DB5FF7">
        <w:t>4</w:t>
      </w:r>
      <w:r w:rsidRPr="00DB5FF7">
        <w:tab/>
      </w:r>
      <w:r w:rsidRPr="00DB5FF7">
        <w:tab/>
      </w:r>
      <w:r w:rsidRPr="00DB5FF7">
        <w:tab/>
      </w:r>
      <w:r w:rsidRPr="00DB5FF7">
        <w:tab/>
      </w:r>
      <w:r w:rsidRPr="00DB5FF7">
        <w:tab/>
      </w:r>
      <w:r w:rsidRPr="00DB5FF7">
        <w:tab/>
        <w:t>2.4</w:t>
      </w:r>
      <w:r w:rsidRPr="00DB5FF7">
        <w:tab/>
        <w:t>0.2</w:t>
      </w:r>
      <w:r w:rsidRPr="00DB5FF7">
        <w:tab/>
        <w:t>2.4</w:t>
      </w:r>
      <w:r w:rsidRPr="00DB5FF7">
        <w:tab/>
        <w:t>0.2</w:t>
      </w:r>
    </w:p>
    <w:p w:rsidR="00DB5FF7" w:rsidRPr="00DB5FF7" w:rsidRDefault="00DB5FF7" w:rsidP="004D45E5">
      <w:r w:rsidRPr="00DB5FF7">
        <w:t>5</w:t>
      </w:r>
      <w:r w:rsidRPr="00DB5FF7">
        <w:tab/>
      </w:r>
      <w:r w:rsidRPr="00DB5FF7">
        <w:tab/>
      </w:r>
      <w:r w:rsidRPr="00DB5FF7">
        <w:tab/>
      </w:r>
      <w:r w:rsidRPr="00DB5FF7">
        <w:tab/>
      </w:r>
      <w:r w:rsidRPr="00DB5FF7">
        <w:tab/>
      </w:r>
      <w:r w:rsidRPr="00DB5FF7">
        <w:tab/>
        <w:t>2.5</w:t>
      </w:r>
      <w:r w:rsidRPr="00DB5FF7">
        <w:tab/>
        <w:t>0.2</w:t>
      </w:r>
      <w:r w:rsidRPr="00DB5FF7">
        <w:tab/>
        <w:t>2.6</w:t>
      </w:r>
      <w:r w:rsidRPr="00DB5FF7">
        <w:tab/>
        <w:t>0.1</w:t>
      </w:r>
    </w:p>
    <w:p w:rsidR="00DB5FF7" w:rsidRPr="00DB5FF7" w:rsidRDefault="00DB5FF7" w:rsidP="004D45E5">
      <w:r w:rsidRPr="00DB5FF7">
        <w:t>6</w:t>
      </w:r>
      <w:r w:rsidRPr="00DB5FF7">
        <w:tab/>
      </w:r>
      <w:r w:rsidRPr="00DB5FF7">
        <w:tab/>
      </w:r>
      <w:r w:rsidRPr="00DB5FF7">
        <w:tab/>
      </w:r>
      <w:r w:rsidRPr="00DB5FF7">
        <w:tab/>
      </w:r>
      <w:r w:rsidRPr="00DB5FF7">
        <w:tab/>
      </w:r>
      <w:r w:rsidRPr="00DB5FF7">
        <w:tab/>
        <w:t>2.4</w:t>
      </w:r>
      <w:r w:rsidRPr="00DB5FF7">
        <w:tab/>
        <w:t>0.2</w:t>
      </w:r>
      <w:r w:rsidRPr="00DB5FF7">
        <w:tab/>
        <w:t>2.5</w:t>
      </w:r>
      <w:r w:rsidRPr="00DB5FF7">
        <w:tab/>
        <w:t>0.2</w:t>
      </w:r>
    </w:p>
    <w:p w:rsidR="00DB5FF7" w:rsidRPr="00DB5FF7" w:rsidRDefault="00DB5FF7" w:rsidP="004D45E5">
      <w:r w:rsidRPr="00DB5FF7">
        <w:t>7</w:t>
      </w:r>
      <w:r w:rsidRPr="00DB5FF7">
        <w:tab/>
      </w:r>
      <w:r w:rsidRPr="00DB5FF7">
        <w:tab/>
      </w:r>
      <w:r w:rsidRPr="00DB5FF7">
        <w:tab/>
      </w:r>
      <w:r w:rsidRPr="00DB5FF7">
        <w:tab/>
      </w:r>
      <w:r w:rsidRPr="00DB5FF7">
        <w:tab/>
      </w:r>
      <w:r w:rsidRPr="00DB5FF7">
        <w:tab/>
        <w:t>2.6</w:t>
      </w:r>
      <w:r w:rsidRPr="00DB5FF7">
        <w:tab/>
        <w:t>0.2</w:t>
      </w:r>
      <w:r w:rsidRPr="00DB5FF7">
        <w:tab/>
        <w:t>3.2</w:t>
      </w:r>
      <w:r w:rsidRPr="00DB5FF7">
        <w:tab/>
        <w:t>0.2</w:t>
      </w:r>
    </w:p>
    <w:p w:rsidR="00DB5FF7" w:rsidRPr="00DB5FF7" w:rsidRDefault="00DB5FF7" w:rsidP="004D45E5">
      <w:r w:rsidRPr="00DB5FF7">
        <w:t>8</w:t>
      </w:r>
      <w:r w:rsidRPr="00DB5FF7">
        <w:tab/>
      </w:r>
      <w:r w:rsidRPr="00DB5FF7">
        <w:tab/>
      </w:r>
      <w:r w:rsidRPr="00DB5FF7">
        <w:tab/>
      </w:r>
      <w:r w:rsidRPr="00DB5FF7">
        <w:tab/>
      </w:r>
      <w:r w:rsidRPr="00DB5FF7">
        <w:tab/>
      </w:r>
      <w:r w:rsidRPr="00DB5FF7">
        <w:tab/>
        <w:t>2.5</w:t>
      </w:r>
      <w:r w:rsidRPr="00DB5FF7">
        <w:tab/>
        <w:t>0.2</w:t>
      </w:r>
      <w:r w:rsidRPr="00DB5FF7">
        <w:tab/>
        <w:t>-3.2</w:t>
      </w:r>
      <w:r w:rsidRPr="00DB5FF7">
        <w:tab/>
        <w:t>0.2</w:t>
      </w:r>
    </w:p>
    <w:p w:rsidR="00DB5FF7" w:rsidRPr="00DB5FF7" w:rsidRDefault="00DB5FF7" w:rsidP="004D45E5">
      <w:r w:rsidRPr="00DB5FF7">
        <w:t>9</w:t>
      </w:r>
      <w:r w:rsidRPr="00DB5FF7">
        <w:tab/>
      </w:r>
      <w:r w:rsidRPr="00DB5FF7">
        <w:tab/>
      </w:r>
      <w:r w:rsidRPr="00DB5FF7">
        <w:tab/>
      </w:r>
      <w:r w:rsidRPr="00DB5FF7">
        <w:tab/>
      </w:r>
      <w:r w:rsidRPr="00DB5FF7">
        <w:tab/>
      </w:r>
      <w:r w:rsidRPr="00DB5FF7">
        <w:tab/>
        <w:t>3.1</w:t>
      </w:r>
      <w:r w:rsidRPr="00DB5FF7">
        <w:tab/>
        <w:t>0.2</w:t>
      </w:r>
      <w:r w:rsidRPr="00DB5FF7">
        <w:tab/>
        <w:t>-3.6</w:t>
      </w:r>
      <w:r w:rsidRPr="00DB5FF7">
        <w:tab/>
        <w:t>0.6</w:t>
      </w:r>
    </w:p>
    <w:p w:rsidR="00DB5FF7" w:rsidRPr="00DB5FF7" w:rsidRDefault="00DB5FF7" w:rsidP="004D45E5">
      <w:r w:rsidRPr="00DB5FF7">
        <w:t>10</w:t>
      </w:r>
      <w:r w:rsidRPr="00DB5FF7">
        <w:tab/>
      </w:r>
      <w:r w:rsidRPr="00DB5FF7">
        <w:tab/>
      </w:r>
      <w:r w:rsidRPr="00DB5FF7">
        <w:tab/>
      </w:r>
      <w:r w:rsidRPr="00DB5FF7">
        <w:tab/>
      </w:r>
      <w:r w:rsidRPr="00DB5FF7">
        <w:tab/>
      </w:r>
      <w:r w:rsidRPr="00DB5FF7">
        <w:tab/>
        <w:t>2.6</w:t>
      </w:r>
      <w:r w:rsidRPr="00DB5FF7">
        <w:tab/>
        <w:t>0.2</w:t>
      </w:r>
      <w:r w:rsidRPr="00DB5FF7">
        <w:tab/>
        <w:t>3.2</w:t>
      </w:r>
      <w:r w:rsidR="00E32B27">
        <w:t xml:space="preserve">                0</w:t>
      </w:r>
      <w:r w:rsidRPr="00DB5FF7">
        <w:t>.2</w:t>
      </w:r>
    </w:p>
    <w:p w:rsidR="004D45E5" w:rsidRPr="00DB5FF7" w:rsidRDefault="004D45E5" w:rsidP="00DB5FF7">
      <w:pPr>
        <w:rPr>
          <w:b/>
        </w:rPr>
      </w:pPr>
    </w:p>
    <w:p w:rsidR="00DB5FF7" w:rsidRPr="00DB5FF7" w:rsidRDefault="00DB5FF7" w:rsidP="00DB5FF7">
      <w:pPr>
        <w:rPr>
          <w:b/>
        </w:rPr>
      </w:pPr>
      <w:r w:rsidRPr="00DB5FF7">
        <w:rPr>
          <w:b/>
        </w:rPr>
        <w:t xml:space="preserve">Table 3. Sample Means of different variables </w:t>
      </w:r>
    </w:p>
    <w:p w:rsidR="00DB5FF7" w:rsidRPr="00DB5FF7" w:rsidRDefault="00DB5FF7" w:rsidP="00DB5FF7">
      <w:pPr>
        <w:rPr>
          <w:b/>
        </w:rPr>
      </w:pPr>
      <w:r w:rsidRPr="00DB5FF7">
        <w:rPr>
          <w:b/>
        </w:rPr>
        <w:t>Variable</w:t>
      </w:r>
      <w:r w:rsidRPr="00DB5FF7">
        <w:rPr>
          <w:b/>
        </w:rPr>
        <w:tab/>
        <w:t>Treatment group</w:t>
      </w:r>
      <w:r w:rsidRPr="00DB5FF7">
        <w:rPr>
          <w:b/>
        </w:rPr>
        <w:tab/>
        <w:t>Control group</w:t>
      </w:r>
    </w:p>
    <w:p w:rsidR="00DB5FF7" w:rsidRPr="00DB5FF7" w:rsidRDefault="00DB5FF7" w:rsidP="00DB5FF7">
      <w:pPr>
        <w:rPr>
          <w:b/>
        </w:rPr>
      </w:pPr>
      <w:r w:rsidRPr="00DB5FF7">
        <w:rPr>
          <w:b/>
        </w:rPr>
        <w:t xml:space="preserve">Years of schooling </w:t>
      </w:r>
      <w:r w:rsidRPr="00DB5FF7">
        <w:rPr>
          <w:b/>
        </w:rPr>
        <w:tab/>
        <w:t>10.36</w:t>
      </w:r>
      <w:r w:rsidRPr="00DB5FF7">
        <w:rPr>
          <w:b/>
        </w:rPr>
        <w:tab/>
        <w:t>10.08</w:t>
      </w:r>
    </w:p>
    <w:p w:rsidR="00DB5FF7" w:rsidRPr="00DB5FF7" w:rsidRDefault="00DB5FF7" w:rsidP="00DB5FF7">
      <w:pPr>
        <w:rPr>
          <w:b/>
        </w:rPr>
      </w:pPr>
      <w:r w:rsidRPr="00DB5FF7">
        <w:rPr>
          <w:b/>
        </w:rPr>
        <w:t xml:space="preserve">Age </w:t>
      </w:r>
      <w:r w:rsidRPr="00DB5FF7">
        <w:rPr>
          <w:b/>
        </w:rPr>
        <w:tab/>
        <w:t>46</w:t>
      </w:r>
      <w:r w:rsidRPr="00DB5FF7">
        <w:rPr>
          <w:b/>
        </w:rPr>
        <w:tab/>
        <w:t>49</w:t>
      </w:r>
    </w:p>
    <w:p w:rsidR="00DB5FF7" w:rsidRPr="00DB5FF7" w:rsidRDefault="00DB5FF7" w:rsidP="00DB5FF7">
      <w:pPr>
        <w:rPr>
          <w:b/>
        </w:rPr>
      </w:pPr>
      <w:r w:rsidRPr="00DB5FF7">
        <w:rPr>
          <w:b/>
        </w:rPr>
        <w:t>Family size</w:t>
      </w:r>
      <w:r w:rsidR="003802E9">
        <w:rPr>
          <w:b/>
        </w:rPr>
        <w:t xml:space="preserve">                                                                      4.42                               5.38</w:t>
      </w:r>
    </w:p>
    <w:p w:rsidR="003802E9" w:rsidRDefault="00DB5FF7" w:rsidP="00DB5FF7">
      <w:pPr>
        <w:rPr>
          <w:b/>
        </w:rPr>
      </w:pPr>
      <w:r w:rsidRPr="00DB5FF7">
        <w:rPr>
          <w:b/>
        </w:rPr>
        <w:t>Land holding (acres)</w:t>
      </w:r>
      <w:r w:rsidRPr="00DB5FF7">
        <w:rPr>
          <w:b/>
        </w:rPr>
        <w:tab/>
        <w:t xml:space="preserve">5.6         </w:t>
      </w:r>
      <w:r w:rsidR="003802E9">
        <w:rPr>
          <w:b/>
        </w:rPr>
        <w:t>5.7</w:t>
      </w:r>
    </w:p>
    <w:p w:rsidR="00DB5FF7" w:rsidRPr="00DB5FF7" w:rsidRDefault="00DB5FF7" w:rsidP="00DB5FF7">
      <w:pPr>
        <w:rPr>
          <w:b/>
        </w:rPr>
      </w:pPr>
      <w:r w:rsidRPr="00DB5FF7">
        <w:rPr>
          <w:b/>
        </w:rPr>
        <w:t>Weekly working hours before intervention</w:t>
      </w:r>
      <w:r w:rsidR="00FB757F">
        <w:rPr>
          <w:b/>
        </w:rPr>
        <w:t xml:space="preserve">   47                               48</w:t>
      </w:r>
    </w:p>
    <w:p w:rsidR="00DB5FF7" w:rsidRPr="00DB5FF7" w:rsidRDefault="00DB5FF7" w:rsidP="00DB5FF7">
      <w:pPr>
        <w:rPr>
          <w:b/>
        </w:rPr>
      </w:pPr>
      <w:r w:rsidRPr="00DB5FF7">
        <w:rPr>
          <w:b/>
        </w:rPr>
        <w:t>Weekly working hours after intervention</w:t>
      </w:r>
      <w:r w:rsidR="00FB757F">
        <w:rPr>
          <w:b/>
        </w:rPr>
        <w:t xml:space="preserve">      57                                49</w:t>
      </w:r>
    </w:p>
    <w:p w:rsidR="00DB5FF7" w:rsidRPr="00DB5FF7" w:rsidRDefault="00DB5FF7" w:rsidP="00DB5FF7">
      <w:pPr>
        <w:rPr>
          <w:b/>
        </w:rPr>
      </w:pPr>
      <w:r w:rsidRPr="00DB5FF7">
        <w:rPr>
          <w:b/>
        </w:rPr>
        <w:t>Income ( monthly)  before intervention</w:t>
      </w:r>
      <w:r w:rsidR="00FB757F">
        <w:rPr>
          <w:b/>
        </w:rPr>
        <w:t xml:space="preserve">     3689                            3525</w:t>
      </w:r>
    </w:p>
    <w:p w:rsidR="00DB5FF7" w:rsidRPr="00DB5FF7" w:rsidRDefault="00DB5FF7" w:rsidP="00DB5FF7">
      <w:pPr>
        <w:rPr>
          <w:b/>
        </w:rPr>
      </w:pPr>
      <w:r w:rsidRPr="00DB5FF7">
        <w:rPr>
          <w:b/>
        </w:rPr>
        <w:t>Income ( monthly)  after intervention</w:t>
      </w:r>
      <w:r w:rsidR="00FB757F">
        <w:rPr>
          <w:b/>
        </w:rPr>
        <w:t xml:space="preserve">     4786                            3498   </w:t>
      </w:r>
    </w:p>
    <w:p w:rsidR="00DB5FF7" w:rsidRPr="00DB5FF7" w:rsidRDefault="00DB5FF7" w:rsidP="00DB5FF7">
      <w:pPr>
        <w:rPr>
          <w:b/>
        </w:rPr>
      </w:pPr>
      <w:r w:rsidRPr="00DB5FF7">
        <w:rPr>
          <w:b/>
        </w:rPr>
        <w:t xml:space="preserve">Involvement in IGA before intervention           </w:t>
      </w:r>
      <w:r w:rsidR="00FB757F">
        <w:rPr>
          <w:b/>
        </w:rPr>
        <w:t>.6986                           .787</w:t>
      </w:r>
    </w:p>
    <w:p w:rsidR="00DB5FF7" w:rsidRDefault="00DB5FF7" w:rsidP="00DB5FF7">
      <w:pPr>
        <w:rPr>
          <w:b/>
        </w:rPr>
      </w:pPr>
      <w:r w:rsidRPr="00DB5FF7">
        <w:rPr>
          <w:b/>
        </w:rPr>
        <w:t>Involvement in IGA after intervention</w:t>
      </w:r>
      <w:r w:rsidRPr="00DB5FF7">
        <w:rPr>
          <w:b/>
        </w:rPr>
        <w:tab/>
      </w:r>
      <w:r w:rsidR="00FB757F">
        <w:rPr>
          <w:b/>
        </w:rPr>
        <w:t xml:space="preserve">   .8</w:t>
      </w:r>
      <w:r w:rsidRPr="00DB5FF7">
        <w:rPr>
          <w:b/>
        </w:rPr>
        <w:t>78.707</w:t>
      </w:r>
    </w:p>
    <w:p w:rsidR="0062164A" w:rsidRDefault="0002629B" w:rsidP="0062164A">
      <w:pPr>
        <w:rPr>
          <w:b/>
        </w:rPr>
      </w:pPr>
      <w:r>
        <w:rPr>
          <w:b/>
        </w:rPr>
        <w:t xml:space="preserve">Claim rights </w:t>
      </w:r>
      <w:r w:rsidRPr="0002629B">
        <w:rPr>
          <w:b/>
        </w:rPr>
        <w:t xml:space="preserve">before intervention    </w:t>
      </w:r>
      <w:r w:rsidR="0062164A" w:rsidRPr="0062164A">
        <w:rPr>
          <w:b/>
        </w:rPr>
        <w:t>3.12              .37</w:t>
      </w:r>
    </w:p>
    <w:p w:rsidR="003D2330" w:rsidRDefault="003D2330" w:rsidP="0062164A">
      <w:pPr>
        <w:rPr>
          <w:b/>
        </w:rPr>
      </w:pPr>
      <w:r w:rsidRPr="003D2330">
        <w:rPr>
          <w:b/>
        </w:rPr>
        <w:t xml:space="preserve">Claim rights </w:t>
      </w:r>
      <w:r>
        <w:rPr>
          <w:b/>
        </w:rPr>
        <w:t>after i</w:t>
      </w:r>
      <w:r w:rsidRPr="003D2330">
        <w:rPr>
          <w:b/>
        </w:rPr>
        <w:t xml:space="preserve">ntervention                              </w:t>
      </w:r>
      <w:r>
        <w:rPr>
          <w:b/>
        </w:rPr>
        <w:t xml:space="preserve">  4</w:t>
      </w:r>
      <w:r w:rsidRPr="003D2330">
        <w:rPr>
          <w:b/>
        </w:rPr>
        <w:t>.12                                .</w:t>
      </w:r>
      <w:r>
        <w:rPr>
          <w:b/>
        </w:rPr>
        <w:t>4</w:t>
      </w:r>
      <w:r w:rsidRPr="003D2330">
        <w:rPr>
          <w:b/>
        </w:rPr>
        <w:t>7</w:t>
      </w:r>
    </w:p>
    <w:p w:rsidR="0002629B" w:rsidRDefault="0062164A" w:rsidP="0062164A">
      <w:pPr>
        <w:rPr>
          <w:b/>
        </w:rPr>
      </w:pPr>
      <w:r w:rsidRPr="0062164A">
        <w:rPr>
          <w:b/>
        </w:rPr>
        <w:t>Awarene</w:t>
      </w:r>
      <w:r w:rsidR="0002629B">
        <w:rPr>
          <w:b/>
        </w:rPr>
        <w:t xml:space="preserve">ss of nutrition services  </w:t>
      </w:r>
    </w:p>
    <w:p w:rsidR="0062164A" w:rsidRDefault="0002629B" w:rsidP="0062164A">
      <w:pPr>
        <w:rPr>
          <w:b/>
        </w:rPr>
      </w:pPr>
      <w:r w:rsidRPr="0002629B">
        <w:rPr>
          <w:b/>
        </w:rPr>
        <w:t xml:space="preserve">before intervention             </w:t>
      </w:r>
      <w:r w:rsidR="0062164A" w:rsidRPr="0062164A">
        <w:rPr>
          <w:b/>
        </w:rPr>
        <w:t xml:space="preserve">  2.12               .47</w:t>
      </w:r>
    </w:p>
    <w:p w:rsidR="003D2330" w:rsidRPr="003D2330" w:rsidRDefault="003D2330" w:rsidP="003D2330">
      <w:pPr>
        <w:rPr>
          <w:b/>
        </w:rPr>
      </w:pPr>
      <w:r w:rsidRPr="003D2330">
        <w:rPr>
          <w:b/>
        </w:rPr>
        <w:t xml:space="preserve">Awareness of nutrition services  </w:t>
      </w:r>
    </w:p>
    <w:p w:rsidR="003D2330" w:rsidRPr="0062164A" w:rsidRDefault="003D2330" w:rsidP="0062164A">
      <w:pPr>
        <w:rPr>
          <w:b/>
        </w:rPr>
      </w:pPr>
      <w:r w:rsidRPr="003D2330">
        <w:rPr>
          <w:b/>
        </w:rPr>
        <w:t xml:space="preserve">before intervention                     </w:t>
      </w:r>
      <w:r>
        <w:rPr>
          <w:b/>
        </w:rPr>
        <w:t xml:space="preserve">                               3</w:t>
      </w:r>
      <w:r w:rsidRPr="003D2330">
        <w:rPr>
          <w:b/>
        </w:rPr>
        <w:t>.</w:t>
      </w:r>
      <w:r>
        <w:rPr>
          <w:b/>
        </w:rPr>
        <w:t>3</w:t>
      </w:r>
      <w:r w:rsidRPr="003D2330">
        <w:rPr>
          <w:b/>
        </w:rPr>
        <w:t>2                                .</w:t>
      </w:r>
      <w:r>
        <w:rPr>
          <w:b/>
        </w:rPr>
        <w:t>3</w:t>
      </w:r>
      <w:r w:rsidRPr="003D2330">
        <w:rPr>
          <w:b/>
        </w:rPr>
        <w:t>7</w:t>
      </w:r>
    </w:p>
    <w:p w:rsidR="0002629B" w:rsidRDefault="0062164A" w:rsidP="0062164A">
      <w:pPr>
        <w:rPr>
          <w:b/>
        </w:rPr>
      </w:pPr>
      <w:r w:rsidRPr="0062164A">
        <w:rPr>
          <w:b/>
        </w:rPr>
        <w:t>Awar</w:t>
      </w:r>
      <w:r w:rsidR="0002629B">
        <w:rPr>
          <w:b/>
        </w:rPr>
        <w:t xml:space="preserve">eness of nutrition policies   </w:t>
      </w:r>
    </w:p>
    <w:p w:rsidR="0062164A" w:rsidRDefault="0002629B" w:rsidP="0062164A">
      <w:pPr>
        <w:rPr>
          <w:b/>
        </w:rPr>
      </w:pPr>
      <w:r w:rsidRPr="0002629B">
        <w:rPr>
          <w:b/>
        </w:rPr>
        <w:t xml:space="preserve">before intervention             </w:t>
      </w:r>
      <w:r w:rsidR="0062164A" w:rsidRPr="0062164A">
        <w:rPr>
          <w:b/>
        </w:rPr>
        <w:t xml:space="preserve">    3.22                                 .37</w:t>
      </w:r>
    </w:p>
    <w:p w:rsidR="003D2330" w:rsidRPr="003D2330" w:rsidRDefault="003D2330" w:rsidP="003D2330">
      <w:pPr>
        <w:rPr>
          <w:b/>
        </w:rPr>
      </w:pPr>
      <w:r w:rsidRPr="003D2330">
        <w:rPr>
          <w:b/>
        </w:rPr>
        <w:t xml:space="preserve">Awareness of nutrition policies     </w:t>
      </w:r>
    </w:p>
    <w:p w:rsidR="003D2330" w:rsidRDefault="003D2330" w:rsidP="0062164A">
      <w:pPr>
        <w:rPr>
          <w:b/>
        </w:rPr>
      </w:pPr>
      <w:r>
        <w:rPr>
          <w:b/>
        </w:rPr>
        <w:t>After i</w:t>
      </w:r>
      <w:r w:rsidRPr="003D2330">
        <w:rPr>
          <w:b/>
        </w:rPr>
        <w:t xml:space="preserve">ntervention                                               </w:t>
      </w:r>
      <w:r>
        <w:rPr>
          <w:b/>
        </w:rPr>
        <w:t>4.3</w:t>
      </w:r>
      <w:r w:rsidRPr="003D2330">
        <w:rPr>
          <w:b/>
        </w:rPr>
        <w:t>2                                 .</w:t>
      </w:r>
      <w:r>
        <w:rPr>
          <w:b/>
        </w:rPr>
        <w:t>7</w:t>
      </w:r>
      <w:r w:rsidRPr="003D2330">
        <w:rPr>
          <w:b/>
        </w:rPr>
        <w:t>7</w:t>
      </w:r>
    </w:p>
    <w:p w:rsidR="0002629B" w:rsidRDefault="0062164A" w:rsidP="0062164A">
      <w:pPr>
        <w:rPr>
          <w:b/>
        </w:rPr>
      </w:pPr>
      <w:r w:rsidRPr="0062164A">
        <w:rPr>
          <w:b/>
        </w:rPr>
        <w:t xml:space="preserve">Increased nutrition services        </w:t>
      </w:r>
    </w:p>
    <w:p w:rsidR="0062164A" w:rsidRDefault="0002629B" w:rsidP="0062164A">
      <w:pPr>
        <w:rPr>
          <w:b/>
        </w:rPr>
      </w:pPr>
      <w:r w:rsidRPr="0002629B">
        <w:rPr>
          <w:b/>
        </w:rPr>
        <w:t xml:space="preserve">before intervention             </w:t>
      </w:r>
      <w:r w:rsidR="0062164A" w:rsidRPr="0062164A">
        <w:rPr>
          <w:b/>
        </w:rPr>
        <w:t>3.32                                 .57</w:t>
      </w:r>
    </w:p>
    <w:p w:rsidR="003D2330" w:rsidRPr="003D2330" w:rsidRDefault="003D2330" w:rsidP="003D2330">
      <w:pPr>
        <w:rPr>
          <w:b/>
        </w:rPr>
      </w:pPr>
      <w:r w:rsidRPr="003D2330">
        <w:rPr>
          <w:b/>
        </w:rPr>
        <w:t xml:space="preserve">Increased nutrition services        </w:t>
      </w:r>
    </w:p>
    <w:p w:rsidR="003D2330" w:rsidRPr="0062164A" w:rsidRDefault="003D2330" w:rsidP="0062164A">
      <w:pPr>
        <w:rPr>
          <w:b/>
        </w:rPr>
      </w:pPr>
      <w:r>
        <w:rPr>
          <w:b/>
        </w:rPr>
        <w:t>after</w:t>
      </w:r>
      <w:r w:rsidRPr="003D2330">
        <w:rPr>
          <w:b/>
        </w:rPr>
        <w:t xml:space="preserve"> intervention                                                </w:t>
      </w:r>
      <w:r>
        <w:rPr>
          <w:b/>
        </w:rPr>
        <w:t xml:space="preserve">    5</w:t>
      </w:r>
      <w:r w:rsidRPr="003D2330">
        <w:rPr>
          <w:b/>
        </w:rPr>
        <w:t>.32                                  .5</w:t>
      </w:r>
      <w:r>
        <w:rPr>
          <w:b/>
        </w:rPr>
        <w:t>9</w:t>
      </w:r>
    </w:p>
    <w:p w:rsidR="003D2330" w:rsidRPr="003D2330" w:rsidRDefault="003D2330" w:rsidP="003D2330">
      <w:pPr>
        <w:rPr>
          <w:b/>
        </w:rPr>
      </w:pPr>
      <w:r w:rsidRPr="003D2330">
        <w:rPr>
          <w:b/>
        </w:rPr>
        <w:t xml:space="preserve">Increased credit facilities          </w:t>
      </w:r>
    </w:p>
    <w:p w:rsidR="003D2330" w:rsidRDefault="003D2330" w:rsidP="0062164A">
      <w:pPr>
        <w:rPr>
          <w:b/>
        </w:rPr>
      </w:pPr>
      <w:r w:rsidRPr="003D2330">
        <w:rPr>
          <w:b/>
        </w:rPr>
        <w:t xml:space="preserve">  before intervention                                               3.42                                   .37</w:t>
      </w:r>
    </w:p>
    <w:p w:rsidR="003D2330" w:rsidRDefault="003D2330" w:rsidP="0062164A">
      <w:pPr>
        <w:rPr>
          <w:b/>
        </w:rPr>
      </w:pPr>
      <w:r w:rsidRPr="003D2330">
        <w:rPr>
          <w:b/>
        </w:rPr>
        <w:t>Incre</w:t>
      </w:r>
      <w:r>
        <w:rPr>
          <w:b/>
        </w:rPr>
        <w:t xml:space="preserve">ased credit facilities   </w:t>
      </w:r>
    </w:p>
    <w:p w:rsidR="0062164A" w:rsidRPr="0062164A" w:rsidRDefault="003D2330" w:rsidP="0062164A">
      <w:pPr>
        <w:rPr>
          <w:b/>
        </w:rPr>
      </w:pPr>
      <w:r>
        <w:rPr>
          <w:b/>
        </w:rPr>
        <w:t xml:space="preserve">after </w:t>
      </w:r>
      <w:r w:rsidR="0002629B" w:rsidRPr="0002629B">
        <w:rPr>
          <w:b/>
        </w:rPr>
        <w:t xml:space="preserve"> intervention             </w:t>
      </w:r>
      <w:r>
        <w:rPr>
          <w:b/>
        </w:rPr>
        <w:t>5.55.66</w:t>
      </w:r>
    </w:p>
    <w:p w:rsidR="007E1B3E" w:rsidRDefault="0062164A" w:rsidP="0062164A">
      <w:pPr>
        <w:rPr>
          <w:b/>
        </w:rPr>
      </w:pPr>
      <w:r w:rsidRPr="0062164A">
        <w:rPr>
          <w:b/>
        </w:rPr>
        <w:t xml:space="preserve">Women getting loans  </w:t>
      </w:r>
    </w:p>
    <w:p w:rsidR="0062164A" w:rsidRDefault="007E1B3E" w:rsidP="0062164A">
      <w:pPr>
        <w:rPr>
          <w:b/>
        </w:rPr>
      </w:pPr>
      <w:r>
        <w:rPr>
          <w:b/>
        </w:rPr>
        <w:t>b</w:t>
      </w:r>
      <w:r w:rsidR="0002629B" w:rsidRPr="0002629B">
        <w:rPr>
          <w:b/>
        </w:rPr>
        <w:t xml:space="preserve">efore intervention             </w:t>
      </w:r>
      <w:r w:rsidR="0062164A" w:rsidRPr="0062164A">
        <w:rPr>
          <w:b/>
        </w:rPr>
        <w:t>3.62                                    .67</w:t>
      </w:r>
    </w:p>
    <w:p w:rsidR="003D2330" w:rsidRDefault="003D2330" w:rsidP="0062164A">
      <w:pPr>
        <w:rPr>
          <w:b/>
        </w:rPr>
      </w:pPr>
    </w:p>
    <w:p w:rsidR="003D2330" w:rsidRPr="003D2330" w:rsidRDefault="003D2330" w:rsidP="003D2330">
      <w:pPr>
        <w:rPr>
          <w:b/>
        </w:rPr>
      </w:pPr>
      <w:r w:rsidRPr="003D2330">
        <w:rPr>
          <w:b/>
        </w:rPr>
        <w:t xml:space="preserve">Women getting loans  </w:t>
      </w:r>
    </w:p>
    <w:p w:rsidR="003D2330" w:rsidRDefault="003D2330" w:rsidP="003D2330">
      <w:pPr>
        <w:rPr>
          <w:b/>
        </w:rPr>
      </w:pPr>
      <w:r>
        <w:rPr>
          <w:b/>
        </w:rPr>
        <w:t xml:space="preserve"> after</w:t>
      </w:r>
      <w:r w:rsidRPr="003D2330">
        <w:rPr>
          <w:b/>
        </w:rPr>
        <w:t xml:space="preserve"> intervention                                             </w:t>
      </w:r>
      <w:r>
        <w:rPr>
          <w:b/>
        </w:rPr>
        <w:t>4</w:t>
      </w:r>
      <w:r w:rsidRPr="003D2330">
        <w:rPr>
          <w:b/>
        </w:rPr>
        <w:t>.</w:t>
      </w:r>
      <w:r>
        <w:rPr>
          <w:b/>
        </w:rPr>
        <w:t>77</w:t>
      </w:r>
      <w:r w:rsidRPr="003D2330">
        <w:rPr>
          <w:b/>
        </w:rPr>
        <w:t xml:space="preserve"> .</w:t>
      </w:r>
      <w:r>
        <w:rPr>
          <w:b/>
        </w:rPr>
        <w:t>8</w:t>
      </w:r>
      <w:r w:rsidRPr="003D2330">
        <w:rPr>
          <w:b/>
        </w:rPr>
        <w:t>7</w:t>
      </w:r>
    </w:p>
    <w:p w:rsidR="0062164A" w:rsidRPr="0062164A" w:rsidRDefault="0062164A" w:rsidP="0062164A">
      <w:pPr>
        <w:rPr>
          <w:b/>
        </w:rPr>
      </w:pPr>
      <w:r w:rsidRPr="0062164A">
        <w:rPr>
          <w:b/>
        </w:rPr>
        <w:t xml:space="preserve">Participation of women in </w:t>
      </w:r>
    </w:p>
    <w:p w:rsidR="0002629B" w:rsidRDefault="0062164A" w:rsidP="0062164A">
      <w:pPr>
        <w:rPr>
          <w:b/>
        </w:rPr>
      </w:pPr>
      <w:r w:rsidRPr="0062164A">
        <w:rPr>
          <w:b/>
        </w:rPr>
        <w:t xml:space="preserve">agricultural activities      </w:t>
      </w:r>
    </w:p>
    <w:p w:rsidR="0062164A" w:rsidRDefault="0002629B" w:rsidP="0062164A">
      <w:pPr>
        <w:rPr>
          <w:b/>
        </w:rPr>
      </w:pPr>
      <w:r w:rsidRPr="0002629B">
        <w:rPr>
          <w:b/>
        </w:rPr>
        <w:t xml:space="preserve">before intervention             </w:t>
      </w:r>
      <w:r w:rsidR="0062164A" w:rsidRPr="0062164A">
        <w:rPr>
          <w:b/>
        </w:rPr>
        <w:t>3.12                                      .37</w:t>
      </w:r>
    </w:p>
    <w:p w:rsidR="003D2330" w:rsidRPr="003D2330" w:rsidRDefault="003D2330" w:rsidP="003D2330">
      <w:pPr>
        <w:rPr>
          <w:b/>
        </w:rPr>
      </w:pPr>
      <w:r w:rsidRPr="003D2330">
        <w:rPr>
          <w:b/>
        </w:rPr>
        <w:t xml:space="preserve">Participation of women in </w:t>
      </w:r>
    </w:p>
    <w:p w:rsidR="003D2330" w:rsidRPr="003D2330" w:rsidRDefault="003D2330" w:rsidP="003D2330">
      <w:pPr>
        <w:rPr>
          <w:b/>
        </w:rPr>
      </w:pPr>
      <w:r w:rsidRPr="003D2330">
        <w:rPr>
          <w:b/>
        </w:rPr>
        <w:t xml:space="preserve">agricultural activities      </w:t>
      </w:r>
    </w:p>
    <w:p w:rsidR="003D2330" w:rsidRPr="0062164A" w:rsidRDefault="003D2330" w:rsidP="003D2330">
      <w:pPr>
        <w:rPr>
          <w:b/>
        </w:rPr>
      </w:pPr>
      <w:r>
        <w:rPr>
          <w:b/>
        </w:rPr>
        <w:t>after i</w:t>
      </w:r>
      <w:r w:rsidRPr="003D2330">
        <w:rPr>
          <w:b/>
        </w:rPr>
        <w:t xml:space="preserve">ntervention                                           </w:t>
      </w:r>
      <w:r>
        <w:rPr>
          <w:b/>
        </w:rPr>
        <w:t>4.43</w:t>
      </w:r>
      <w:r w:rsidR="00085C38">
        <w:rPr>
          <w:b/>
        </w:rPr>
        <w:t xml:space="preserve">    .87</w:t>
      </w:r>
    </w:p>
    <w:p w:rsidR="0062164A" w:rsidRPr="0062164A" w:rsidRDefault="0062164A" w:rsidP="0062164A">
      <w:pPr>
        <w:rPr>
          <w:b/>
        </w:rPr>
      </w:pPr>
      <w:r w:rsidRPr="0062164A">
        <w:rPr>
          <w:b/>
        </w:rPr>
        <w:t>Participation of women in</w:t>
      </w:r>
    </w:p>
    <w:p w:rsidR="0062164A" w:rsidRDefault="0002629B" w:rsidP="0062164A">
      <w:pPr>
        <w:rPr>
          <w:b/>
        </w:rPr>
      </w:pPr>
      <w:r>
        <w:rPr>
          <w:b/>
        </w:rPr>
        <w:t xml:space="preserve"> sales decision   </w:t>
      </w:r>
      <w:r w:rsidRPr="0002629B">
        <w:rPr>
          <w:b/>
        </w:rPr>
        <w:t>before intervention</w:t>
      </w:r>
      <w:r w:rsidR="0062164A" w:rsidRPr="0062164A">
        <w:rPr>
          <w:b/>
        </w:rPr>
        <w:t>2.92                                        .47</w:t>
      </w:r>
    </w:p>
    <w:p w:rsidR="00085C38" w:rsidRPr="00085C38" w:rsidRDefault="00085C38" w:rsidP="00085C38">
      <w:pPr>
        <w:rPr>
          <w:b/>
        </w:rPr>
      </w:pPr>
      <w:r w:rsidRPr="00085C38">
        <w:rPr>
          <w:b/>
        </w:rPr>
        <w:t>Participation of women in</w:t>
      </w:r>
    </w:p>
    <w:p w:rsidR="00085C38" w:rsidRPr="0062164A" w:rsidRDefault="00085C38" w:rsidP="0062164A">
      <w:pPr>
        <w:rPr>
          <w:b/>
        </w:rPr>
      </w:pPr>
      <w:r w:rsidRPr="00085C38">
        <w:rPr>
          <w:b/>
        </w:rPr>
        <w:t xml:space="preserve"> sales decision   </w:t>
      </w:r>
      <w:r>
        <w:rPr>
          <w:b/>
        </w:rPr>
        <w:t>after i</w:t>
      </w:r>
      <w:r w:rsidRPr="00085C38">
        <w:rPr>
          <w:b/>
        </w:rPr>
        <w:t xml:space="preserve">ntervention               </w:t>
      </w:r>
      <w:r>
        <w:rPr>
          <w:b/>
        </w:rPr>
        <w:t xml:space="preserve">  3.08</w:t>
      </w:r>
      <w:r w:rsidRPr="00085C38">
        <w:rPr>
          <w:b/>
        </w:rPr>
        <w:t xml:space="preserve">                                        .</w:t>
      </w:r>
      <w:r>
        <w:rPr>
          <w:b/>
        </w:rPr>
        <w:t>77</w:t>
      </w:r>
      <w:r w:rsidRPr="00085C38">
        <w:rPr>
          <w:b/>
        </w:rPr>
        <w:t>7</w:t>
      </w:r>
    </w:p>
    <w:p w:rsidR="0062164A" w:rsidRPr="0062164A" w:rsidRDefault="0062164A" w:rsidP="0062164A">
      <w:pPr>
        <w:rPr>
          <w:b/>
        </w:rPr>
      </w:pPr>
      <w:r w:rsidRPr="0062164A">
        <w:rPr>
          <w:b/>
        </w:rPr>
        <w:t xml:space="preserve">Participation of women in </w:t>
      </w:r>
    </w:p>
    <w:p w:rsidR="0062164A" w:rsidRDefault="0002629B" w:rsidP="0062164A">
      <w:pPr>
        <w:rPr>
          <w:b/>
        </w:rPr>
      </w:pPr>
      <w:r>
        <w:rPr>
          <w:b/>
        </w:rPr>
        <w:t xml:space="preserve">purchase decision </w:t>
      </w:r>
      <w:r w:rsidRPr="0002629B">
        <w:rPr>
          <w:b/>
        </w:rPr>
        <w:t xml:space="preserve">before intervention  </w:t>
      </w:r>
      <w:r w:rsidR="0062164A" w:rsidRPr="0062164A">
        <w:rPr>
          <w:b/>
        </w:rPr>
        <w:t>4.12                                     .67</w:t>
      </w:r>
    </w:p>
    <w:p w:rsidR="00085C38" w:rsidRPr="00085C38" w:rsidRDefault="00085C38" w:rsidP="00085C38">
      <w:pPr>
        <w:rPr>
          <w:b/>
        </w:rPr>
      </w:pPr>
      <w:r w:rsidRPr="00085C38">
        <w:rPr>
          <w:b/>
        </w:rPr>
        <w:t xml:space="preserve">Participation of women in </w:t>
      </w:r>
    </w:p>
    <w:p w:rsidR="00085C38" w:rsidRDefault="00085C38" w:rsidP="0062164A">
      <w:pPr>
        <w:rPr>
          <w:b/>
        </w:rPr>
      </w:pPr>
      <w:r w:rsidRPr="00085C38">
        <w:rPr>
          <w:b/>
        </w:rPr>
        <w:t xml:space="preserve">purchase decision  </w:t>
      </w:r>
      <w:r>
        <w:rPr>
          <w:b/>
        </w:rPr>
        <w:t>after</w:t>
      </w:r>
      <w:r w:rsidRPr="00085C38">
        <w:rPr>
          <w:b/>
        </w:rPr>
        <w:t xml:space="preserve"> intervention        </w:t>
      </w:r>
      <w:r>
        <w:rPr>
          <w:b/>
        </w:rPr>
        <w:t xml:space="preserve">  5.07</w:t>
      </w:r>
      <w:r w:rsidRPr="00085C38">
        <w:rPr>
          <w:b/>
        </w:rPr>
        <w:t xml:space="preserve">   .</w:t>
      </w:r>
      <w:r>
        <w:rPr>
          <w:b/>
        </w:rPr>
        <w:t>89</w:t>
      </w:r>
    </w:p>
    <w:p w:rsidR="0062164A" w:rsidRPr="0062164A" w:rsidRDefault="0062164A" w:rsidP="0062164A">
      <w:pPr>
        <w:rPr>
          <w:b/>
        </w:rPr>
      </w:pPr>
      <w:r w:rsidRPr="0062164A">
        <w:rPr>
          <w:b/>
        </w:rPr>
        <w:t xml:space="preserve">Participation of women in Income </w:t>
      </w:r>
    </w:p>
    <w:p w:rsidR="0062164A" w:rsidRDefault="0062164A" w:rsidP="0062164A">
      <w:pPr>
        <w:rPr>
          <w:b/>
        </w:rPr>
      </w:pPr>
      <w:r w:rsidRPr="0062164A">
        <w:rPr>
          <w:b/>
        </w:rPr>
        <w:t xml:space="preserve">generation activities  </w:t>
      </w:r>
      <w:r w:rsidR="0002629B">
        <w:rPr>
          <w:b/>
        </w:rPr>
        <w:t>b</w:t>
      </w:r>
      <w:r w:rsidR="0002629B" w:rsidRPr="0002629B">
        <w:rPr>
          <w:b/>
        </w:rPr>
        <w:t>efore intervention</w:t>
      </w:r>
      <w:r w:rsidRPr="0062164A">
        <w:rPr>
          <w:b/>
        </w:rPr>
        <w:t>3.24                                     .3</w:t>
      </w:r>
      <w:r w:rsidR="00A5344D">
        <w:rPr>
          <w:b/>
        </w:rPr>
        <w:t>5</w:t>
      </w:r>
    </w:p>
    <w:p w:rsidR="00085C38" w:rsidRPr="00085C38" w:rsidRDefault="00085C38" w:rsidP="00085C38">
      <w:pPr>
        <w:rPr>
          <w:b/>
        </w:rPr>
      </w:pPr>
      <w:r w:rsidRPr="00085C38">
        <w:rPr>
          <w:b/>
        </w:rPr>
        <w:t xml:space="preserve">Participation of women in Income </w:t>
      </w:r>
    </w:p>
    <w:p w:rsidR="00085C38" w:rsidRPr="0062164A" w:rsidRDefault="00085C38" w:rsidP="00085C38">
      <w:pPr>
        <w:rPr>
          <w:b/>
        </w:rPr>
      </w:pPr>
      <w:r w:rsidRPr="00085C38">
        <w:rPr>
          <w:b/>
        </w:rPr>
        <w:t xml:space="preserve">generation activities  </w:t>
      </w:r>
      <w:r>
        <w:rPr>
          <w:b/>
        </w:rPr>
        <w:t xml:space="preserve">after </w:t>
      </w:r>
      <w:r w:rsidRPr="00085C38">
        <w:rPr>
          <w:b/>
        </w:rPr>
        <w:t xml:space="preserve">intervention </w:t>
      </w:r>
      <w:r>
        <w:rPr>
          <w:b/>
        </w:rPr>
        <w:t xml:space="preserve">  4</w:t>
      </w:r>
      <w:r w:rsidRPr="00085C38">
        <w:rPr>
          <w:b/>
        </w:rPr>
        <w:t>.</w:t>
      </w:r>
      <w:r>
        <w:rPr>
          <w:b/>
        </w:rPr>
        <w:t>1</w:t>
      </w:r>
      <w:r w:rsidRPr="00085C38">
        <w:rPr>
          <w:b/>
        </w:rPr>
        <w:t xml:space="preserve">4                                        </w:t>
      </w:r>
      <w:r>
        <w:rPr>
          <w:b/>
        </w:rPr>
        <w:t>.66</w:t>
      </w:r>
    </w:p>
    <w:p w:rsidR="0062164A" w:rsidRPr="0062164A" w:rsidRDefault="0062164A" w:rsidP="0062164A">
      <w:pPr>
        <w:rPr>
          <w:b/>
        </w:rPr>
      </w:pPr>
      <w:r w:rsidRPr="0062164A">
        <w:rPr>
          <w:b/>
        </w:rPr>
        <w:t xml:space="preserve">Participation of women in </w:t>
      </w:r>
    </w:p>
    <w:p w:rsidR="0062164A" w:rsidRDefault="007E1B3E" w:rsidP="0062164A">
      <w:pPr>
        <w:rPr>
          <w:b/>
        </w:rPr>
      </w:pPr>
      <w:r>
        <w:rPr>
          <w:b/>
        </w:rPr>
        <w:t xml:space="preserve">health decision </w:t>
      </w:r>
      <w:r w:rsidR="0002629B" w:rsidRPr="0002629B">
        <w:rPr>
          <w:b/>
        </w:rPr>
        <w:t xml:space="preserve">before intervention    </w:t>
      </w:r>
      <w:r w:rsidR="0062164A" w:rsidRPr="0062164A">
        <w:rPr>
          <w:b/>
        </w:rPr>
        <w:t xml:space="preserve">   4.52                                   .57</w:t>
      </w:r>
    </w:p>
    <w:p w:rsidR="00085C38" w:rsidRPr="00085C38" w:rsidRDefault="00085C38" w:rsidP="00085C38">
      <w:pPr>
        <w:rPr>
          <w:b/>
        </w:rPr>
      </w:pPr>
      <w:r w:rsidRPr="00085C38">
        <w:rPr>
          <w:b/>
        </w:rPr>
        <w:t xml:space="preserve">Participation of women in </w:t>
      </w:r>
    </w:p>
    <w:p w:rsidR="00085C38" w:rsidRDefault="00085C38" w:rsidP="00085C38">
      <w:pPr>
        <w:rPr>
          <w:b/>
        </w:rPr>
      </w:pPr>
      <w:r w:rsidRPr="00085C38">
        <w:rPr>
          <w:b/>
        </w:rPr>
        <w:t xml:space="preserve">health decision </w:t>
      </w:r>
      <w:r>
        <w:rPr>
          <w:b/>
        </w:rPr>
        <w:t xml:space="preserve">after </w:t>
      </w:r>
      <w:r w:rsidRPr="00085C38">
        <w:rPr>
          <w:b/>
        </w:rPr>
        <w:t xml:space="preserve">intervention             </w:t>
      </w:r>
      <w:r>
        <w:rPr>
          <w:b/>
        </w:rPr>
        <w:t xml:space="preserve">  5.11                                       .68</w:t>
      </w:r>
    </w:p>
    <w:p w:rsidR="00085C38" w:rsidRDefault="00085C38" w:rsidP="0062164A">
      <w:pPr>
        <w:rPr>
          <w:b/>
        </w:rPr>
      </w:pPr>
    </w:p>
    <w:p w:rsidR="0062164A" w:rsidRPr="0062164A" w:rsidRDefault="0062164A" w:rsidP="0062164A">
      <w:pPr>
        <w:rPr>
          <w:b/>
        </w:rPr>
      </w:pPr>
      <w:r w:rsidRPr="0062164A">
        <w:rPr>
          <w:b/>
        </w:rPr>
        <w:t>Participation of women in</w:t>
      </w:r>
    </w:p>
    <w:p w:rsidR="0062164A" w:rsidRDefault="007E1B3E" w:rsidP="0062164A">
      <w:pPr>
        <w:rPr>
          <w:b/>
        </w:rPr>
      </w:pPr>
      <w:r>
        <w:rPr>
          <w:b/>
        </w:rPr>
        <w:t xml:space="preserve"> marriage decision  </w:t>
      </w:r>
      <w:r w:rsidR="0002629B" w:rsidRPr="0002629B">
        <w:rPr>
          <w:b/>
        </w:rPr>
        <w:t xml:space="preserve">before intervention     </w:t>
      </w:r>
      <w:r w:rsidR="0062164A" w:rsidRPr="0062164A">
        <w:rPr>
          <w:b/>
        </w:rPr>
        <w:t>3.32                                   .47</w:t>
      </w:r>
    </w:p>
    <w:p w:rsidR="00085C38" w:rsidRPr="00085C38" w:rsidRDefault="00085C38" w:rsidP="00085C38">
      <w:pPr>
        <w:rPr>
          <w:b/>
        </w:rPr>
      </w:pPr>
      <w:r w:rsidRPr="00085C38">
        <w:rPr>
          <w:b/>
        </w:rPr>
        <w:t>Participation of women in</w:t>
      </w:r>
    </w:p>
    <w:p w:rsidR="00085C38" w:rsidRDefault="00085C38" w:rsidP="00085C38">
      <w:pPr>
        <w:rPr>
          <w:b/>
        </w:rPr>
      </w:pPr>
      <w:r w:rsidRPr="00085C38">
        <w:rPr>
          <w:b/>
        </w:rPr>
        <w:t xml:space="preserve"> marriage decision  </w:t>
      </w:r>
      <w:r>
        <w:rPr>
          <w:b/>
        </w:rPr>
        <w:t xml:space="preserve">after </w:t>
      </w:r>
      <w:r w:rsidRPr="00085C38">
        <w:rPr>
          <w:b/>
        </w:rPr>
        <w:t xml:space="preserve">intervention      </w:t>
      </w:r>
      <w:r>
        <w:rPr>
          <w:b/>
        </w:rPr>
        <w:t xml:space="preserve">   4.77                                   .57</w:t>
      </w:r>
    </w:p>
    <w:p w:rsidR="00085C38" w:rsidRDefault="00085C38" w:rsidP="0062164A">
      <w:pPr>
        <w:rPr>
          <w:b/>
        </w:rPr>
      </w:pPr>
    </w:p>
    <w:p w:rsidR="00DB5FF7" w:rsidRDefault="00DB5FF7" w:rsidP="004D45E5">
      <w:r w:rsidRPr="00DB5FF7">
        <w:t>We notice in the above table that the two groups do not significantly differ in terms of covariates before inte</w:t>
      </w:r>
      <w:r w:rsidR="00B813C9">
        <w:t>r</w:t>
      </w:r>
      <w:r w:rsidRPr="00DB5FF7">
        <w:t>vention. But, after intervention, respondents in two groups namely, treatment and control g</w:t>
      </w:r>
      <w:r w:rsidR="00B510BB">
        <w:t>r</w:t>
      </w:r>
      <w:r w:rsidRPr="00DB5FF7">
        <w:t>oup, differ significantly</w:t>
      </w:r>
      <w:r w:rsidR="00936435">
        <w:t xml:space="preserve"> in terms of most of the covariates</w:t>
      </w:r>
      <w:r w:rsidRPr="00DB5FF7">
        <w:t xml:space="preserve">. Such results have been obtained after matching the respondents in the combined group </w:t>
      </w:r>
      <w:r w:rsidR="00936435">
        <w:t xml:space="preserve">with </w:t>
      </w:r>
      <w:r w:rsidRPr="00DB5FF7">
        <w:t>similar propensity scores.</w:t>
      </w:r>
    </w:p>
    <w:p w:rsidR="00DB5FF7" w:rsidRPr="007941AD" w:rsidRDefault="00DB5FF7" w:rsidP="00DB5FF7">
      <w:pPr>
        <w:rPr>
          <w:b/>
        </w:rPr>
      </w:pPr>
      <w:r w:rsidRPr="007941AD">
        <w:rPr>
          <w:b/>
        </w:rPr>
        <w:t>5.</w:t>
      </w:r>
      <w:r w:rsidRPr="007941AD">
        <w:rPr>
          <w:b/>
        </w:rPr>
        <w:tab/>
        <w:t xml:space="preserve">Conclusion </w:t>
      </w:r>
    </w:p>
    <w:p w:rsidR="00DB5FF7" w:rsidRPr="00DB5FF7" w:rsidRDefault="00DB5FF7" w:rsidP="004D45E5">
      <w:r w:rsidRPr="00DB5FF7">
        <w:t>This paper presents  propensity score-matching method that is able to yield accurate estimates of the treatment effect in non</w:t>
      </w:r>
      <w:r w:rsidR="007941AD">
        <w:t>-</w:t>
      </w:r>
      <w:r w:rsidRPr="00DB5FF7">
        <w:t xml:space="preserve">experimental settings in which the treated  group differs substantially from the potential comparison units. The method is able to make the large comparison group down to the relevant comparisons without using information on outcomes Thus, it allows  outcome data to be collected only for the relevant subset of comparison units. We can draw  conclusion  that it is extremely valuable to check the comparability of the treatment and comparison units in terms of pretreatment characteristics, which the researcher can check in most applications. The propensity score method dramatically highlights the fact that most of the comparison units are very different from the treated units. </w:t>
      </w:r>
    </w:p>
    <w:p w:rsidR="00DB5FF7" w:rsidRPr="00FD1160" w:rsidRDefault="00DB5FF7" w:rsidP="00DB5FF7">
      <w:r w:rsidRPr="00DB5FF7">
        <w:t>Policy Implications. Followings  are the messages as emerged from the study findings. These can be taken into account by poli</w:t>
      </w:r>
      <w:r w:rsidR="007941AD">
        <w:t xml:space="preserve">cy makers. 1.Widespread use of </w:t>
      </w:r>
      <w:r w:rsidRPr="00DB5FF7">
        <w:t xml:space="preserve">project initiatives can result in substantial reduction in loss of working hours. 2.In order to increase access to </w:t>
      </w:r>
      <w:r w:rsidR="007941AD">
        <w:t xml:space="preserve">project activities, </w:t>
      </w:r>
      <w:r w:rsidRPr="00DB5FF7">
        <w:t xml:space="preserve"> knowledge  power of users needs to be enhanced through </w:t>
      </w:r>
      <w:r w:rsidR="004D45E5">
        <w:t>promotion campaign</w:t>
      </w:r>
      <w:r w:rsidRPr="00DB5FF7">
        <w:t xml:space="preserve">.  Affordability of citizens is a concern. 3.More clarity is needed in the distribution system of </w:t>
      </w:r>
      <w:r w:rsidR="007941AD">
        <w:t>project</w:t>
      </w:r>
      <w:r w:rsidRPr="00DB5FF7">
        <w:t xml:space="preserve"> materials</w:t>
      </w:r>
      <w:r w:rsidR="00FD1160">
        <w:t xml:space="preserve"> and messages</w:t>
      </w:r>
      <w:r w:rsidRPr="00DB5FF7">
        <w:t>. Pro-poor venture needs to be ascertained. 4.Upfront costs burden can be lessened through proper and active participation of local level people in the form of voluntary organizations. 5.Motivational activities need to be strengthened so that knowledge and awareness of citizens are widened</w:t>
      </w:r>
      <w:r w:rsidR="00FD1160">
        <w:t xml:space="preserve"> so that they can reap massive benefits out of the project. </w:t>
      </w:r>
      <w:r w:rsidRPr="00FD1160">
        <w:t>Crosscutting issues like improved nut</w:t>
      </w:r>
      <w:r w:rsidR="007941AD" w:rsidRPr="00FD1160">
        <w:t>r</w:t>
      </w:r>
      <w:r w:rsidRPr="00FD1160">
        <w:t xml:space="preserve">itional practices, gender equity and youth participation will also enhance. This will bring broad-based economic growth ensuring long-term </w:t>
      </w:r>
      <w:r w:rsidR="007941AD" w:rsidRPr="00FD1160">
        <w:t xml:space="preserve">livelihood </w:t>
      </w:r>
      <w:r w:rsidRPr="00FD1160">
        <w:t xml:space="preserve">security through adopting </w:t>
      </w:r>
      <w:r w:rsidR="007941AD" w:rsidRPr="00FD1160">
        <w:t>ICC initiatives.</w:t>
      </w:r>
    </w:p>
    <w:p w:rsidR="007941AD" w:rsidRDefault="00DB5FF7" w:rsidP="00DB5FF7">
      <w:pPr>
        <w:rPr>
          <w:b/>
        </w:rPr>
      </w:pPr>
      <w:r w:rsidRPr="00DB5FF7">
        <w:rPr>
          <w:b/>
        </w:rPr>
        <w:t>References:</w:t>
      </w:r>
    </w:p>
    <w:p w:rsidR="00DB5FF7" w:rsidRPr="00DB5FF7" w:rsidRDefault="00DB5FF7" w:rsidP="00FD1160">
      <w:r w:rsidRPr="00DB5FF7">
        <w:t xml:space="preserve"> Becker, S. &amp; A. Ichino, 2002 Estimation of Average Treatment Effects Based on Propensity Score, The Stata Jounal 2(4) .</w:t>
      </w:r>
    </w:p>
    <w:p w:rsidR="002F003E" w:rsidRDefault="00DB5FF7" w:rsidP="00FD1160">
      <w:r w:rsidRPr="00DB5FF7">
        <w:t>Imbens, G. &amp; J. Wooldridge 2009. Recent developments in the Econometrics of Impac</w:t>
      </w:r>
      <w:r w:rsidR="009610E2">
        <w:t>t</w:t>
      </w:r>
      <w:bookmarkStart w:id="0" w:name="_GoBack"/>
      <w:bookmarkEnd w:id="0"/>
    </w:p>
    <w:sectPr w:rsidR="002F003E" w:rsidSect="00D87A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E2C" w:rsidRDefault="00CF0E2C" w:rsidP="003D2330">
      <w:pPr>
        <w:spacing w:after="0" w:line="240" w:lineRule="auto"/>
      </w:pPr>
      <w:r>
        <w:separator/>
      </w:r>
    </w:p>
  </w:endnote>
  <w:endnote w:type="continuationSeparator" w:id="1">
    <w:p w:rsidR="00CF0E2C" w:rsidRDefault="00CF0E2C" w:rsidP="003D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E2C" w:rsidRDefault="00CF0E2C" w:rsidP="003D2330">
      <w:pPr>
        <w:spacing w:after="0" w:line="240" w:lineRule="auto"/>
      </w:pPr>
      <w:r>
        <w:separator/>
      </w:r>
    </w:p>
  </w:footnote>
  <w:footnote w:type="continuationSeparator" w:id="1">
    <w:p w:rsidR="00CF0E2C" w:rsidRDefault="00CF0E2C" w:rsidP="003D2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3D36"/>
    <w:multiLevelType w:val="hybridMultilevel"/>
    <w:tmpl w:val="6C66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425AE"/>
    <w:multiLevelType w:val="hybridMultilevel"/>
    <w:tmpl w:val="4B00B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87E22"/>
    <w:multiLevelType w:val="hybridMultilevel"/>
    <w:tmpl w:val="270C6B78"/>
    <w:lvl w:ilvl="0" w:tplc="7E2CE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rsids>
    <w:rsidRoot w:val="00BC1128"/>
    <w:rsid w:val="0002629B"/>
    <w:rsid w:val="00050C4A"/>
    <w:rsid w:val="00085C38"/>
    <w:rsid w:val="00114A99"/>
    <w:rsid w:val="001368E8"/>
    <w:rsid w:val="00163CE0"/>
    <w:rsid w:val="001739CC"/>
    <w:rsid w:val="00190DEF"/>
    <w:rsid w:val="00205554"/>
    <w:rsid w:val="0025615D"/>
    <w:rsid w:val="0026495B"/>
    <w:rsid w:val="0026573C"/>
    <w:rsid w:val="002F003E"/>
    <w:rsid w:val="0034533E"/>
    <w:rsid w:val="00355920"/>
    <w:rsid w:val="003802E9"/>
    <w:rsid w:val="003A3739"/>
    <w:rsid w:val="003B7406"/>
    <w:rsid w:val="003D2330"/>
    <w:rsid w:val="00407B7F"/>
    <w:rsid w:val="00410E80"/>
    <w:rsid w:val="004D45E5"/>
    <w:rsid w:val="00563A80"/>
    <w:rsid w:val="00594FD2"/>
    <w:rsid w:val="0062164A"/>
    <w:rsid w:val="006613FD"/>
    <w:rsid w:val="00696EE2"/>
    <w:rsid w:val="006E5C11"/>
    <w:rsid w:val="00783DCD"/>
    <w:rsid w:val="007941AD"/>
    <w:rsid w:val="007E1B3E"/>
    <w:rsid w:val="008B4F61"/>
    <w:rsid w:val="00936435"/>
    <w:rsid w:val="009610E2"/>
    <w:rsid w:val="0099078F"/>
    <w:rsid w:val="009B6E52"/>
    <w:rsid w:val="009E64CC"/>
    <w:rsid w:val="00A35E53"/>
    <w:rsid w:val="00A5344D"/>
    <w:rsid w:val="00A952C4"/>
    <w:rsid w:val="00AE787B"/>
    <w:rsid w:val="00AF5541"/>
    <w:rsid w:val="00B510BB"/>
    <w:rsid w:val="00B813C9"/>
    <w:rsid w:val="00BA4E6D"/>
    <w:rsid w:val="00BC1128"/>
    <w:rsid w:val="00C75316"/>
    <w:rsid w:val="00CF0E2C"/>
    <w:rsid w:val="00D241EC"/>
    <w:rsid w:val="00D57DE0"/>
    <w:rsid w:val="00D87A97"/>
    <w:rsid w:val="00DA580A"/>
    <w:rsid w:val="00DB5FF7"/>
    <w:rsid w:val="00DD01CC"/>
    <w:rsid w:val="00E32B27"/>
    <w:rsid w:val="00E66DEC"/>
    <w:rsid w:val="00F551C1"/>
    <w:rsid w:val="00F57067"/>
    <w:rsid w:val="00F672C8"/>
    <w:rsid w:val="00F762A0"/>
    <w:rsid w:val="00FB757F"/>
    <w:rsid w:val="00FC2D02"/>
    <w:rsid w:val="00FD1160"/>
    <w:rsid w:val="00FE02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128"/>
    <w:rPr>
      <w:color w:val="0000FF" w:themeColor="hyperlink"/>
      <w:u w:val="single"/>
    </w:rPr>
  </w:style>
  <w:style w:type="paragraph" w:styleId="Prrafodelista">
    <w:name w:val="List Paragraph"/>
    <w:basedOn w:val="Normal"/>
    <w:uiPriority w:val="34"/>
    <w:qFormat/>
    <w:rsid w:val="00F551C1"/>
    <w:pPr>
      <w:ind w:left="720"/>
      <w:contextualSpacing/>
    </w:pPr>
  </w:style>
  <w:style w:type="paragraph" w:styleId="Encabezado">
    <w:name w:val="header"/>
    <w:basedOn w:val="Normal"/>
    <w:link w:val="EncabezadoCar"/>
    <w:uiPriority w:val="99"/>
    <w:unhideWhenUsed/>
    <w:rsid w:val="003D233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D2330"/>
  </w:style>
  <w:style w:type="paragraph" w:styleId="Piedepgina">
    <w:name w:val="footer"/>
    <w:basedOn w:val="Normal"/>
    <w:link w:val="PiedepginaCar"/>
    <w:uiPriority w:val="99"/>
    <w:unhideWhenUsed/>
    <w:rsid w:val="003D233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D2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28"/>
    <w:rPr>
      <w:color w:val="0000FF" w:themeColor="hyperlink"/>
      <w:u w:val="single"/>
    </w:rPr>
  </w:style>
  <w:style w:type="paragraph" w:styleId="ListParagraph">
    <w:name w:val="List Paragraph"/>
    <w:basedOn w:val="Normal"/>
    <w:uiPriority w:val="34"/>
    <w:qFormat/>
    <w:rsid w:val="00F551C1"/>
    <w:pPr>
      <w:ind w:left="720"/>
      <w:contextualSpacing/>
    </w:pPr>
  </w:style>
  <w:style w:type="paragraph" w:styleId="Header">
    <w:name w:val="header"/>
    <w:basedOn w:val="Normal"/>
    <w:link w:val="HeaderChar"/>
    <w:uiPriority w:val="99"/>
    <w:unhideWhenUsed/>
    <w:rsid w:val="003D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30"/>
  </w:style>
  <w:style w:type="paragraph" w:styleId="Footer">
    <w:name w:val="footer"/>
    <w:basedOn w:val="Normal"/>
    <w:link w:val="FooterChar"/>
    <w:uiPriority w:val="99"/>
    <w:unhideWhenUsed/>
    <w:rsid w:val="003D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oleObject" Target="embeddings/oleObject2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image" Target="media/image22.wmf"/><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oleObject" Target="embeddings/oleObject27.bin"/><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3.wmf"/><Relationship Id="rId8" Type="http://schemas.openxmlformats.org/officeDocument/2006/relationships/image" Target="media/image1.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1.bin"/><Relationship Id="rId59"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EFD9-C479-4FD8-A7BD-C0599F35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4415</Words>
  <Characters>24287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Motiur Rahman</dc:creator>
  <cp:lastModifiedBy>User</cp:lastModifiedBy>
  <cp:revision>61</cp:revision>
  <cp:lastPrinted>2016-10-19T05:51:00Z</cp:lastPrinted>
  <dcterms:created xsi:type="dcterms:W3CDTF">2016-09-25T04:47:00Z</dcterms:created>
  <dcterms:modified xsi:type="dcterms:W3CDTF">2017-03-29T15:56:00Z</dcterms:modified>
</cp:coreProperties>
</file>